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7EF5" w14:textId="77777777" w:rsidR="00B8389F" w:rsidRDefault="00B8389F">
      <w:pPr>
        <w:jc w:val="center"/>
        <w:rPr>
          <w:sz w:val="44"/>
          <w:szCs w:val="44"/>
        </w:rPr>
      </w:pPr>
    </w:p>
    <w:p w14:paraId="1B4D8492" w14:textId="77777777" w:rsidR="00B8389F" w:rsidRDefault="001C4864">
      <w:pPr>
        <w:jc w:val="center"/>
        <w:rPr>
          <w:sz w:val="44"/>
          <w:szCs w:val="44"/>
        </w:rPr>
      </w:pPr>
      <w:r>
        <w:rPr>
          <w:rFonts w:hint="eastAsia"/>
          <w:noProof/>
          <w:sz w:val="44"/>
          <w:szCs w:val="44"/>
        </w:rPr>
        <w:drawing>
          <wp:anchor distT="0" distB="0" distL="114300" distR="114300" simplePos="0" relativeHeight="251659264" behindDoc="1" locked="0" layoutInCell="1" allowOverlap="1">
            <wp:simplePos x="0" y="0"/>
            <wp:positionH relativeFrom="column">
              <wp:posOffset>47625</wp:posOffset>
            </wp:positionH>
            <wp:positionV relativeFrom="paragraph">
              <wp:posOffset>-328930</wp:posOffset>
            </wp:positionV>
            <wp:extent cx="1129665" cy="395605"/>
            <wp:effectExtent l="0" t="0" r="13335" b="635"/>
            <wp:wrapNone/>
            <wp:docPr id="1" name="图片 1" descr="戴卡最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戴卡最新Logo"/>
                    <pic:cNvPicPr>
                      <a:picLocks noChangeAspect="1"/>
                    </pic:cNvPicPr>
                  </pic:nvPicPr>
                  <pic:blipFill>
                    <a:blip r:embed="rId7"/>
                    <a:stretch>
                      <a:fillRect/>
                    </a:stretch>
                  </pic:blipFill>
                  <pic:spPr>
                    <a:xfrm>
                      <a:off x="0" y="0"/>
                      <a:ext cx="1129665" cy="395605"/>
                    </a:xfrm>
                    <a:prstGeom prst="rect">
                      <a:avLst/>
                    </a:prstGeom>
                  </pic:spPr>
                </pic:pic>
              </a:graphicData>
            </a:graphic>
          </wp:anchor>
        </w:drawing>
      </w:r>
      <w:r>
        <w:rPr>
          <w:rFonts w:hint="eastAsia"/>
          <w:sz w:val="44"/>
          <w:szCs w:val="44"/>
        </w:rPr>
        <w:t>温室气体排放目标及实施计划</w:t>
      </w:r>
    </w:p>
    <w:p w14:paraId="2E241251"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一、温室气体排放数据披露的边界</w:t>
      </w:r>
    </w:p>
    <w:p w14:paraId="18640C4A"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中信戴卡股份有限公司、</w:t>
      </w:r>
      <w:proofErr w:type="gramStart"/>
      <w:r>
        <w:rPr>
          <w:rFonts w:ascii="宋体" w:eastAsia="宋体" w:hAnsi="宋体" w:hint="eastAsia"/>
          <w:sz w:val="24"/>
          <w:szCs w:val="24"/>
        </w:rPr>
        <w:t>凯</w:t>
      </w:r>
      <w:proofErr w:type="gramEnd"/>
      <w:r>
        <w:rPr>
          <w:rFonts w:ascii="宋体" w:eastAsia="宋体" w:hAnsi="宋体" w:hint="eastAsia"/>
          <w:sz w:val="24"/>
          <w:szCs w:val="24"/>
        </w:rPr>
        <w:t>斯</w:t>
      </w:r>
      <w:proofErr w:type="gramStart"/>
      <w:r>
        <w:rPr>
          <w:rFonts w:ascii="宋体" w:eastAsia="宋体" w:hAnsi="宋体" w:hint="eastAsia"/>
          <w:sz w:val="24"/>
          <w:szCs w:val="24"/>
        </w:rPr>
        <w:t>曼</w:t>
      </w:r>
      <w:proofErr w:type="gramEnd"/>
      <w:r>
        <w:rPr>
          <w:rFonts w:ascii="宋体" w:eastAsia="宋体" w:hAnsi="宋体" w:hint="eastAsia"/>
          <w:sz w:val="24"/>
          <w:szCs w:val="24"/>
        </w:rPr>
        <w:t>秦皇岛汽车零部件制造有限公司、</w:t>
      </w:r>
      <w:proofErr w:type="gramStart"/>
      <w:r>
        <w:rPr>
          <w:rFonts w:ascii="宋体" w:eastAsia="宋体" w:hAnsi="宋体" w:hint="eastAsia"/>
          <w:sz w:val="24"/>
          <w:szCs w:val="24"/>
        </w:rPr>
        <w:t>凯世曼</w:t>
      </w:r>
      <w:proofErr w:type="gramEnd"/>
      <w:r>
        <w:rPr>
          <w:rFonts w:ascii="宋体" w:eastAsia="宋体" w:hAnsi="宋体" w:hint="eastAsia"/>
          <w:sz w:val="24"/>
          <w:szCs w:val="24"/>
        </w:rPr>
        <w:t>铸造长春有限公司、戴卡</w:t>
      </w:r>
      <w:proofErr w:type="gramStart"/>
      <w:r>
        <w:rPr>
          <w:rFonts w:ascii="宋体" w:eastAsia="宋体" w:hAnsi="宋体" w:hint="eastAsia"/>
          <w:sz w:val="24"/>
          <w:szCs w:val="24"/>
        </w:rPr>
        <w:t>凯</w:t>
      </w:r>
      <w:proofErr w:type="gramEnd"/>
      <w:r>
        <w:rPr>
          <w:rFonts w:ascii="宋体" w:eastAsia="宋体" w:hAnsi="宋体" w:hint="eastAsia"/>
          <w:sz w:val="24"/>
          <w:szCs w:val="24"/>
        </w:rPr>
        <w:t>斯</w:t>
      </w:r>
      <w:proofErr w:type="gramStart"/>
      <w:r>
        <w:rPr>
          <w:rFonts w:ascii="宋体" w:eastAsia="宋体" w:hAnsi="宋体" w:hint="eastAsia"/>
          <w:sz w:val="24"/>
          <w:szCs w:val="24"/>
        </w:rPr>
        <w:t>曼</w:t>
      </w:r>
      <w:proofErr w:type="gramEnd"/>
      <w:r>
        <w:rPr>
          <w:rFonts w:ascii="宋体" w:eastAsia="宋体" w:hAnsi="宋体" w:hint="eastAsia"/>
          <w:sz w:val="24"/>
          <w:szCs w:val="24"/>
        </w:rPr>
        <w:t>成都汽车零部件有限公司</w:t>
      </w:r>
    </w:p>
    <w:p w14:paraId="49FF3EF6"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二、中信戴卡</w:t>
      </w:r>
      <w:proofErr w:type="gramStart"/>
      <w:r>
        <w:rPr>
          <w:rFonts w:ascii="宋体" w:eastAsia="宋体" w:hAnsi="宋体" w:hint="eastAsia"/>
          <w:sz w:val="24"/>
          <w:szCs w:val="24"/>
        </w:rPr>
        <w:t>股份有限公司碳达峰</w:t>
      </w:r>
      <w:proofErr w:type="gramEnd"/>
      <w:r>
        <w:rPr>
          <w:rFonts w:ascii="宋体" w:eastAsia="宋体" w:hAnsi="宋体" w:hint="eastAsia"/>
          <w:sz w:val="24"/>
          <w:szCs w:val="24"/>
        </w:rPr>
        <w:t>、碳中和的目标</w:t>
      </w:r>
    </w:p>
    <w:p w14:paraId="26171CE0" w14:textId="6149D0DE" w:rsidR="00B8389F" w:rsidRDefault="00D44DA8">
      <w:pPr>
        <w:ind w:firstLineChars="200" w:firstLine="480"/>
        <w:rPr>
          <w:rFonts w:ascii="宋体" w:eastAsia="宋体" w:hAnsi="宋体"/>
          <w:sz w:val="24"/>
          <w:szCs w:val="24"/>
        </w:rPr>
      </w:pPr>
      <w:r>
        <w:rPr>
          <w:rFonts w:ascii="宋体" w:eastAsia="宋体" w:hAnsi="宋体" w:hint="eastAsia"/>
          <w:sz w:val="24"/>
          <w:szCs w:val="24"/>
        </w:rPr>
        <w:t>20</w:t>
      </w:r>
      <w:r>
        <w:rPr>
          <w:rFonts w:ascii="宋体" w:eastAsia="宋体" w:hAnsi="宋体"/>
          <w:sz w:val="24"/>
          <w:szCs w:val="24"/>
        </w:rPr>
        <w:t>30</w:t>
      </w:r>
      <w:r w:rsidR="001C4864">
        <w:rPr>
          <w:rFonts w:ascii="宋体" w:eastAsia="宋体" w:hAnsi="宋体" w:hint="eastAsia"/>
          <w:sz w:val="24"/>
          <w:szCs w:val="24"/>
        </w:rPr>
        <w:t>年，</w:t>
      </w:r>
      <w:proofErr w:type="gramStart"/>
      <w:r w:rsidR="001C4864">
        <w:rPr>
          <w:rFonts w:ascii="宋体" w:eastAsia="宋体" w:hAnsi="宋体" w:hint="eastAsia"/>
          <w:sz w:val="24"/>
          <w:szCs w:val="24"/>
        </w:rPr>
        <w:t>实现碳达峰</w:t>
      </w:r>
      <w:proofErr w:type="gramEnd"/>
      <w:r w:rsidR="001C4864">
        <w:rPr>
          <w:rFonts w:ascii="宋体" w:eastAsia="宋体" w:hAnsi="宋体" w:hint="eastAsia"/>
          <w:sz w:val="24"/>
          <w:szCs w:val="24"/>
        </w:rPr>
        <w:t>;</w:t>
      </w:r>
    </w:p>
    <w:p w14:paraId="59099F50"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2050年，实现碳中和，</w:t>
      </w:r>
    </w:p>
    <w:p w14:paraId="6B0887D3"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三、单位产品温室气体短中期排放目标和计划</w:t>
      </w:r>
    </w:p>
    <w:p w14:paraId="1B81835F" w14:textId="77777777" w:rsidR="00B8389F" w:rsidRDefault="00B8389F">
      <w:pPr>
        <w:ind w:firstLineChars="200" w:firstLine="480"/>
        <w:rPr>
          <w:rFonts w:ascii="宋体" w:eastAsia="宋体" w:hAnsi="宋体"/>
          <w:sz w:val="24"/>
          <w:szCs w:val="24"/>
        </w:rPr>
      </w:pPr>
    </w:p>
    <w:tbl>
      <w:tblPr>
        <w:tblW w:w="95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17"/>
        <w:gridCol w:w="1418"/>
        <w:gridCol w:w="1417"/>
        <w:gridCol w:w="1418"/>
        <w:gridCol w:w="1417"/>
        <w:gridCol w:w="1418"/>
      </w:tblGrid>
      <w:tr w:rsidR="003C049E" w:rsidRPr="00FD74E9" w14:paraId="19186964" w14:textId="77777777" w:rsidTr="00FD74E9">
        <w:trPr>
          <w:trHeight w:val="639"/>
        </w:trPr>
        <w:tc>
          <w:tcPr>
            <w:tcW w:w="9513" w:type="dxa"/>
            <w:gridSpan w:val="7"/>
            <w:vAlign w:val="center"/>
          </w:tcPr>
          <w:p w14:paraId="37F3A547" w14:textId="19A2FA24" w:rsidR="003C049E" w:rsidRPr="00FD74E9" w:rsidRDefault="006B1061" w:rsidP="00AB40CE">
            <w:pPr>
              <w:ind w:left="15"/>
              <w:jc w:val="center"/>
              <w:rPr>
                <w:rFonts w:ascii="宋体" w:eastAsia="宋体" w:hAnsi="宋体"/>
                <w:sz w:val="24"/>
                <w:szCs w:val="24"/>
              </w:rPr>
            </w:pPr>
            <w:r w:rsidRPr="00FD74E9">
              <w:rPr>
                <w:rFonts w:hint="eastAsia"/>
              </w:rPr>
              <w:t>铝合金轮毂</w:t>
            </w:r>
            <w:r w:rsidR="00555B11" w:rsidRPr="00FD74E9">
              <w:t>产品</w:t>
            </w:r>
            <w:r w:rsidRPr="00FD74E9">
              <w:rPr>
                <w:rFonts w:hint="eastAsia"/>
              </w:rPr>
              <w:t>碳足迹</w:t>
            </w:r>
            <w:r w:rsidR="00555B11" w:rsidRPr="00FD74E9">
              <w:t>目标</w:t>
            </w:r>
          </w:p>
        </w:tc>
      </w:tr>
      <w:tr w:rsidR="004875A7" w:rsidRPr="00FD74E9" w14:paraId="4998260D" w14:textId="6F94727E" w:rsidTr="00FD74E9">
        <w:trPr>
          <w:trHeight w:val="1380"/>
        </w:trPr>
        <w:tc>
          <w:tcPr>
            <w:tcW w:w="1008" w:type="dxa"/>
            <w:vAlign w:val="center"/>
          </w:tcPr>
          <w:p w14:paraId="2792E641" w14:textId="77777777" w:rsidR="004875A7" w:rsidRPr="00FD74E9" w:rsidRDefault="004875A7"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单位</w:t>
            </w:r>
          </w:p>
        </w:tc>
        <w:tc>
          <w:tcPr>
            <w:tcW w:w="1417" w:type="dxa"/>
            <w:vAlign w:val="center"/>
          </w:tcPr>
          <w:p w14:paraId="1494A247" w14:textId="77777777" w:rsidR="004875A7" w:rsidRPr="00FD74E9" w:rsidRDefault="004875A7"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2023年实际排放量（tCO2/t)</w:t>
            </w:r>
          </w:p>
        </w:tc>
        <w:tc>
          <w:tcPr>
            <w:tcW w:w="1418" w:type="dxa"/>
            <w:vAlign w:val="center"/>
          </w:tcPr>
          <w:p w14:paraId="7D468EA1" w14:textId="77777777" w:rsidR="004875A7" w:rsidRPr="00FD74E9" w:rsidRDefault="004875A7"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2024 年排放量（tCO2/t)</w:t>
            </w:r>
          </w:p>
        </w:tc>
        <w:tc>
          <w:tcPr>
            <w:tcW w:w="1417" w:type="dxa"/>
            <w:vAlign w:val="center"/>
          </w:tcPr>
          <w:p w14:paraId="4A0FA69D" w14:textId="77777777" w:rsidR="004875A7" w:rsidRPr="00FD74E9" w:rsidRDefault="004875A7"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2025 年排放量（tCO2/t)</w:t>
            </w:r>
          </w:p>
        </w:tc>
        <w:tc>
          <w:tcPr>
            <w:tcW w:w="1418" w:type="dxa"/>
            <w:vAlign w:val="center"/>
          </w:tcPr>
          <w:p w14:paraId="33CB4BDF" w14:textId="77777777" w:rsidR="004875A7" w:rsidRPr="00FD74E9" w:rsidRDefault="004875A7"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2026 年排放量（tCO2/t)</w:t>
            </w:r>
          </w:p>
        </w:tc>
        <w:tc>
          <w:tcPr>
            <w:tcW w:w="1417" w:type="dxa"/>
            <w:vAlign w:val="center"/>
          </w:tcPr>
          <w:p w14:paraId="1E05B943" w14:textId="77777777" w:rsidR="004875A7" w:rsidRPr="00FD74E9" w:rsidRDefault="004875A7"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2027 年排放量（tCO2/t)</w:t>
            </w:r>
          </w:p>
        </w:tc>
        <w:tc>
          <w:tcPr>
            <w:tcW w:w="1418" w:type="dxa"/>
            <w:vAlign w:val="center"/>
          </w:tcPr>
          <w:p w14:paraId="2CF944C9" w14:textId="2AF56D39" w:rsidR="004875A7" w:rsidRPr="00FD74E9" w:rsidRDefault="004875A7"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202</w:t>
            </w:r>
            <w:r w:rsidRPr="00FD74E9">
              <w:rPr>
                <w:rFonts w:ascii="宋体" w:eastAsia="宋体" w:hAnsi="宋体"/>
                <w:sz w:val="24"/>
                <w:szCs w:val="24"/>
              </w:rPr>
              <w:t>8</w:t>
            </w:r>
            <w:r w:rsidRPr="00FD74E9">
              <w:rPr>
                <w:rFonts w:ascii="宋体" w:eastAsia="宋体" w:hAnsi="宋体" w:hint="eastAsia"/>
                <w:sz w:val="24"/>
                <w:szCs w:val="24"/>
              </w:rPr>
              <w:t xml:space="preserve"> 年排放量（tCO2/t)</w:t>
            </w:r>
          </w:p>
        </w:tc>
      </w:tr>
      <w:tr w:rsidR="00C77791" w:rsidRPr="00FD74E9" w14:paraId="415C7D8C" w14:textId="71D093FB" w:rsidTr="00FD74E9">
        <w:trPr>
          <w:trHeight w:val="240"/>
        </w:trPr>
        <w:tc>
          <w:tcPr>
            <w:tcW w:w="1008" w:type="dxa"/>
            <w:vAlign w:val="center"/>
          </w:tcPr>
          <w:p w14:paraId="31AB51DC" w14:textId="77777777" w:rsidR="00C77791" w:rsidRPr="00FD74E9" w:rsidRDefault="00C77791"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tCO</w:t>
            </w:r>
            <w:r w:rsidRPr="00FD74E9">
              <w:rPr>
                <w:rFonts w:ascii="宋体" w:eastAsia="宋体" w:hAnsi="宋体" w:hint="eastAsia"/>
                <w:sz w:val="24"/>
                <w:szCs w:val="24"/>
                <w:vertAlign w:val="subscript"/>
              </w:rPr>
              <w:t>2</w:t>
            </w:r>
            <w:r w:rsidRPr="00FD74E9">
              <w:rPr>
                <w:rFonts w:ascii="宋体" w:eastAsia="宋体" w:hAnsi="宋体" w:hint="eastAsia"/>
                <w:sz w:val="24"/>
                <w:szCs w:val="24"/>
              </w:rPr>
              <w:t>/t</w:t>
            </w:r>
          </w:p>
        </w:tc>
        <w:tc>
          <w:tcPr>
            <w:tcW w:w="1417" w:type="dxa"/>
            <w:vAlign w:val="center"/>
          </w:tcPr>
          <w:p w14:paraId="14702583" w14:textId="5ABCA663" w:rsidR="00C77791" w:rsidRPr="00FD74E9" w:rsidRDefault="00C77791" w:rsidP="00AB40CE">
            <w:pPr>
              <w:widowControl/>
              <w:ind w:leftChars="-7" w:left="-2" w:hangingChars="6" w:hanging="13"/>
              <w:jc w:val="center"/>
              <w:textAlignment w:val="center"/>
              <w:rPr>
                <w:rFonts w:ascii="宋体" w:eastAsia="宋体" w:hAnsi="宋体"/>
                <w:sz w:val="24"/>
                <w:szCs w:val="24"/>
              </w:rPr>
            </w:pPr>
            <w:r w:rsidRPr="00FD74E9">
              <w:rPr>
                <w:rFonts w:hint="eastAsia"/>
                <w:b/>
                <w:bCs/>
                <w:color w:val="000000"/>
                <w:sz w:val="22"/>
              </w:rPr>
              <w:t>17.23</w:t>
            </w:r>
          </w:p>
        </w:tc>
        <w:tc>
          <w:tcPr>
            <w:tcW w:w="1418" w:type="dxa"/>
            <w:vAlign w:val="center"/>
          </w:tcPr>
          <w:p w14:paraId="2D5BDC19" w14:textId="124810D7" w:rsidR="00C77791" w:rsidRPr="00FD74E9" w:rsidRDefault="00C77791" w:rsidP="00AB40CE">
            <w:pPr>
              <w:widowControl/>
              <w:ind w:leftChars="-7" w:left="-2" w:hangingChars="6" w:hanging="13"/>
              <w:jc w:val="center"/>
              <w:textAlignment w:val="center"/>
              <w:rPr>
                <w:rFonts w:ascii="宋体" w:eastAsia="宋体" w:hAnsi="宋体"/>
                <w:sz w:val="24"/>
                <w:szCs w:val="24"/>
              </w:rPr>
            </w:pPr>
            <w:r w:rsidRPr="00FD74E9">
              <w:rPr>
                <w:rFonts w:hint="eastAsia"/>
                <w:b/>
                <w:bCs/>
                <w:color w:val="000000"/>
                <w:sz w:val="22"/>
              </w:rPr>
              <w:t>16.75</w:t>
            </w:r>
          </w:p>
        </w:tc>
        <w:tc>
          <w:tcPr>
            <w:tcW w:w="1417" w:type="dxa"/>
            <w:vAlign w:val="center"/>
          </w:tcPr>
          <w:p w14:paraId="381765D4" w14:textId="71BAB8A8" w:rsidR="00C77791" w:rsidRPr="00FD74E9" w:rsidRDefault="00C77791" w:rsidP="00AB40CE">
            <w:pPr>
              <w:widowControl/>
              <w:ind w:leftChars="-7" w:left="-2" w:hangingChars="6" w:hanging="13"/>
              <w:jc w:val="center"/>
              <w:textAlignment w:val="center"/>
              <w:rPr>
                <w:rFonts w:ascii="宋体" w:eastAsia="宋体" w:hAnsi="宋体"/>
                <w:sz w:val="24"/>
                <w:szCs w:val="24"/>
              </w:rPr>
            </w:pPr>
            <w:r w:rsidRPr="00FD74E9">
              <w:rPr>
                <w:rFonts w:hint="eastAsia"/>
                <w:b/>
                <w:bCs/>
                <w:color w:val="000000"/>
                <w:sz w:val="22"/>
              </w:rPr>
              <w:t>16.25</w:t>
            </w:r>
          </w:p>
        </w:tc>
        <w:tc>
          <w:tcPr>
            <w:tcW w:w="1418" w:type="dxa"/>
            <w:vAlign w:val="center"/>
          </w:tcPr>
          <w:p w14:paraId="74AA3913" w14:textId="234AF9D9" w:rsidR="00C77791" w:rsidRPr="00FD74E9" w:rsidRDefault="00C77791" w:rsidP="00AB40CE">
            <w:pPr>
              <w:widowControl/>
              <w:ind w:leftChars="-7" w:left="-2" w:hangingChars="6" w:hanging="13"/>
              <w:jc w:val="center"/>
              <w:textAlignment w:val="center"/>
              <w:rPr>
                <w:rFonts w:ascii="宋体" w:eastAsia="宋体" w:hAnsi="宋体"/>
                <w:sz w:val="24"/>
                <w:szCs w:val="24"/>
              </w:rPr>
            </w:pPr>
            <w:r w:rsidRPr="00FD74E9">
              <w:rPr>
                <w:rFonts w:hint="eastAsia"/>
                <w:b/>
                <w:bCs/>
                <w:color w:val="000000"/>
                <w:sz w:val="22"/>
              </w:rPr>
              <w:t>15.35</w:t>
            </w:r>
          </w:p>
        </w:tc>
        <w:tc>
          <w:tcPr>
            <w:tcW w:w="1417" w:type="dxa"/>
            <w:vAlign w:val="center"/>
          </w:tcPr>
          <w:p w14:paraId="20DED727" w14:textId="0E5FB434" w:rsidR="00C77791" w:rsidRPr="00FD74E9" w:rsidRDefault="00C77791" w:rsidP="00AB40CE">
            <w:pPr>
              <w:widowControl/>
              <w:ind w:leftChars="-7" w:left="-2" w:hangingChars="6" w:hanging="13"/>
              <w:jc w:val="center"/>
              <w:textAlignment w:val="center"/>
              <w:rPr>
                <w:rFonts w:ascii="宋体" w:eastAsia="宋体" w:hAnsi="宋体"/>
                <w:sz w:val="24"/>
                <w:szCs w:val="24"/>
              </w:rPr>
            </w:pPr>
            <w:r w:rsidRPr="00FD74E9">
              <w:rPr>
                <w:rFonts w:hint="eastAsia"/>
                <w:b/>
                <w:bCs/>
                <w:color w:val="000000"/>
                <w:sz w:val="22"/>
              </w:rPr>
              <w:t>15.25</w:t>
            </w:r>
          </w:p>
        </w:tc>
        <w:tc>
          <w:tcPr>
            <w:tcW w:w="1418" w:type="dxa"/>
            <w:vAlign w:val="center"/>
          </w:tcPr>
          <w:p w14:paraId="69C9F087" w14:textId="077307AB" w:rsidR="00C77791" w:rsidRPr="00FD74E9" w:rsidRDefault="00C77791" w:rsidP="00AB40CE">
            <w:pPr>
              <w:widowControl/>
              <w:ind w:leftChars="-7" w:left="-2" w:hangingChars="6" w:hanging="13"/>
              <w:jc w:val="center"/>
              <w:textAlignment w:val="center"/>
              <w:rPr>
                <w:rFonts w:ascii="宋体" w:eastAsia="宋体" w:hAnsi="宋体" w:cs="宋体"/>
                <w:color w:val="000000"/>
                <w:kern w:val="0"/>
                <w:sz w:val="22"/>
                <w:lang w:bidi="ar"/>
              </w:rPr>
            </w:pPr>
            <w:r w:rsidRPr="00FD74E9">
              <w:rPr>
                <w:rFonts w:hint="eastAsia"/>
                <w:b/>
                <w:bCs/>
                <w:color w:val="000000"/>
                <w:sz w:val="22"/>
              </w:rPr>
              <w:t>14.65</w:t>
            </w:r>
          </w:p>
        </w:tc>
      </w:tr>
      <w:tr w:rsidR="003C049E" w:rsidRPr="00FD74E9" w14:paraId="4DDD77B2" w14:textId="77777777" w:rsidTr="00FD74E9">
        <w:trPr>
          <w:trHeight w:val="240"/>
        </w:trPr>
        <w:tc>
          <w:tcPr>
            <w:tcW w:w="9513" w:type="dxa"/>
            <w:gridSpan w:val="7"/>
            <w:vAlign w:val="center"/>
          </w:tcPr>
          <w:p w14:paraId="7411119C" w14:textId="01653A8E" w:rsidR="003C049E" w:rsidRPr="00FD74E9" w:rsidRDefault="00BC1E6A" w:rsidP="00AB40CE">
            <w:pPr>
              <w:widowControl/>
              <w:ind w:leftChars="-7" w:left="-2" w:hangingChars="6" w:hanging="13"/>
              <w:jc w:val="center"/>
              <w:textAlignment w:val="center"/>
              <w:rPr>
                <w:b/>
                <w:bCs/>
                <w:color w:val="000000"/>
                <w:sz w:val="22"/>
              </w:rPr>
            </w:pPr>
            <w:r w:rsidRPr="00FD74E9">
              <w:rPr>
                <w:rFonts w:hint="eastAsia"/>
                <w:b/>
                <w:bCs/>
                <w:color w:val="000000"/>
                <w:sz w:val="22"/>
              </w:rPr>
              <w:t>原料（铝液）阶段产品排放强度</w:t>
            </w:r>
            <w:r w:rsidR="003C049E" w:rsidRPr="00FD74E9">
              <w:rPr>
                <w:rFonts w:hint="eastAsia"/>
                <w:b/>
                <w:bCs/>
                <w:color w:val="000000"/>
                <w:sz w:val="22"/>
              </w:rPr>
              <w:t>（外购）</w:t>
            </w:r>
          </w:p>
        </w:tc>
      </w:tr>
      <w:tr w:rsidR="003C049E" w:rsidRPr="00FD74E9" w14:paraId="075A449D" w14:textId="77777777" w:rsidTr="00FD74E9">
        <w:trPr>
          <w:trHeight w:val="240"/>
        </w:trPr>
        <w:tc>
          <w:tcPr>
            <w:tcW w:w="1008" w:type="dxa"/>
            <w:vAlign w:val="center"/>
          </w:tcPr>
          <w:p w14:paraId="197E7CFE" w14:textId="56782DA6" w:rsidR="003C049E" w:rsidRPr="00FD74E9" w:rsidRDefault="003C049E"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单位</w:t>
            </w:r>
          </w:p>
        </w:tc>
        <w:tc>
          <w:tcPr>
            <w:tcW w:w="1417" w:type="dxa"/>
            <w:vAlign w:val="center"/>
          </w:tcPr>
          <w:p w14:paraId="248DC962" w14:textId="5B7C2B7E" w:rsidR="003C049E" w:rsidRPr="00FD74E9" w:rsidRDefault="003C049E" w:rsidP="00AB40CE">
            <w:pPr>
              <w:widowControl/>
              <w:ind w:leftChars="-7" w:left="-1" w:hangingChars="6" w:hanging="14"/>
              <w:jc w:val="center"/>
              <w:textAlignment w:val="center"/>
              <w:rPr>
                <w:b/>
                <w:bCs/>
                <w:color w:val="000000"/>
                <w:sz w:val="22"/>
              </w:rPr>
            </w:pPr>
            <w:r w:rsidRPr="00FD74E9">
              <w:rPr>
                <w:rFonts w:ascii="宋体" w:eastAsia="宋体" w:hAnsi="宋体" w:hint="eastAsia"/>
                <w:sz w:val="24"/>
                <w:szCs w:val="24"/>
              </w:rPr>
              <w:t>2023年实际排放量（tCO2/t)</w:t>
            </w:r>
          </w:p>
        </w:tc>
        <w:tc>
          <w:tcPr>
            <w:tcW w:w="1418" w:type="dxa"/>
            <w:vAlign w:val="center"/>
          </w:tcPr>
          <w:p w14:paraId="6E737569" w14:textId="459D7A15" w:rsidR="003C049E" w:rsidRPr="00FD74E9" w:rsidRDefault="003C049E" w:rsidP="00AB40CE">
            <w:pPr>
              <w:widowControl/>
              <w:ind w:leftChars="-7" w:left="-1" w:hangingChars="6" w:hanging="14"/>
              <w:jc w:val="center"/>
              <w:textAlignment w:val="center"/>
              <w:rPr>
                <w:b/>
                <w:bCs/>
                <w:color w:val="000000"/>
                <w:sz w:val="22"/>
              </w:rPr>
            </w:pPr>
            <w:r w:rsidRPr="00FD74E9">
              <w:rPr>
                <w:rFonts w:ascii="宋体" w:eastAsia="宋体" w:hAnsi="宋体" w:hint="eastAsia"/>
                <w:sz w:val="24"/>
                <w:szCs w:val="24"/>
              </w:rPr>
              <w:t>2024 年排放量（tCO2/t)</w:t>
            </w:r>
          </w:p>
        </w:tc>
        <w:tc>
          <w:tcPr>
            <w:tcW w:w="1417" w:type="dxa"/>
            <w:vAlign w:val="center"/>
          </w:tcPr>
          <w:p w14:paraId="5E6C41EA" w14:textId="45615464" w:rsidR="003C049E" w:rsidRPr="00FD74E9" w:rsidRDefault="003C049E" w:rsidP="00AB40CE">
            <w:pPr>
              <w:widowControl/>
              <w:ind w:leftChars="-7" w:left="-1" w:hangingChars="6" w:hanging="14"/>
              <w:jc w:val="center"/>
              <w:textAlignment w:val="center"/>
              <w:rPr>
                <w:b/>
                <w:bCs/>
                <w:color w:val="000000"/>
                <w:sz w:val="22"/>
              </w:rPr>
            </w:pPr>
            <w:r w:rsidRPr="00FD74E9">
              <w:rPr>
                <w:rFonts w:ascii="宋体" w:eastAsia="宋体" w:hAnsi="宋体" w:hint="eastAsia"/>
                <w:sz w:val="24"/>
                <w:szCs w:val="24"/>
              </w:rPr>
              <w:t>2025 年排放量（tCO2/t)</w:t>
            </w:r>
          </w:p>
        </w:tc>
        <w:tc>
          <w:tcPr>
            <w:tcW w:w="1418" w:type="dxa"/>
            <w:vAlign w:val="center"/>
          </w:tcPr>
          <w:p w14:paraId="7A29A91D" w14:textId="41EF5539" w:rsidR="003C049E" w:rsidRPr="00FD74E9" w:rsidRDefault="003C049E" w:rsidP="00AB40CE">
            <w:pPr>
              <w:widowControl/>
              <w:ind w:leftChars="-7" w:left="-1" w:hangingChars="6" w:hanging="14"/>
              <w:jc w:val="center"/>
              <w:textAlignment w:val="center"/>
              <w:rPr>
                <w:b/>
                <w:bCs/>
                <w:color w:val="000000"/>
                <w:sz w:val="22"/>
              </w:rPr>
            </w:pPr>
            <w:r w:rsidRPr="00FD74E9">
              <w:rPr>
                <w:rFonts w:ascii="宋体" w:eastAsia="宋体" w:hAnsi="宋体" w:hint="eastAsia"/>
                <w:sz w:val="24"/>
                <w:szCs w:val="24"/>
              </w:rPr>
              <w:t>2026 年排放量（tCO2/t)</w:t>
            </w:r>
          </w:p>
        </w:tc>
        <w:tc>
          <w:tcPr>
            <w:tcW w:w="1417" w:type="dxa"/>
            <w:vAlign w:val="center"/>
          </w:tcPr>
          <w:p w14:paraId="2B49A816" w14:textId="15A53DD5" w:rsidR="003C049E" w:rsidRPr="00FD74E9" w:rsidRDefault="003C049E" w:rsidP="00AB40CE">
            <w:pPr>
              <w:widowControl/>
              <w:ind w:leftChars="-7" w:left="-1" w:hangingChars="6" w:hanging="14"/>
              <w:jc w:val="center"/>
              <w:textAlignment w:val="center"/>
              <w:rPr>
                <w:b/>
                <w:bCs/>
                <w:color w:val="000000"/>
                <w:sz w:val="22"/>
              </w:rPr>
            </w:pPr>
            <w:r w:rsidRPr="00FD74E9">
              <w:rPr>
                <w:rFonts w:ascii="宋体" w:eastAsia="宋体" w:hAnsi="宋体" w:hint="eastAsia"/>
                <w:sz w:val="24"/>
                <w:szCs w:val="24"/>
              </w:rPr>
              <w:t>2027 年排放量（tCO2/t)</w:t>
            </w:r>
          </w:p>
        </w:tc>
        <w:tc>
          <w:tcPr>
            <w:tcW w:w="1418" w:type="dxa"/>
            <w:vAlign w:val="center"/>
          </w:tcPr>
          <w:p w14:paraId="43C212DB" w14:textId="7F41CAD9" w:rsidR="003C049E" w:rsidRPr="00FD74E9" w:rsidRDefault="003C049E" w:rsidP="00AB40CE">
            <w:pPr>
              <w:widowControl/>
              <w:ind w:leftChars="-7" w:left="-1" w:hangingChars="6" w:hanging="14"/>
              <w:jc w:val="center"/>
              <w:textAlignment w:val="center"/>
              <w:rPr>
                <w:b/>
                <w:bCs/>
                <w:color w:val="000000"/>
                <w:sz w:val="22"/>
              </w:rPr>
            </w:pPr>
            <w:r w:rsidRPr="00FD74E9">
              <w:rPr>
                <w:rFonts w:ascii="宋体" w:eastAsia="宋体" w:hAnsi="宋体" w:hint="eastAsia"/>
                <w:sz w:val="24"/>
                <w:szCs w:val="24"/>
              </w:rPr>
              <w:t>202</w:t>
            </w:r>
            <w:r w:rsidRPr="00FD74E9">
              <w:rPr>
                <w:rFonts w:ascii="宋体" w:eastAsia="宋体" w:hAnsi="宋体"/>
                <w:sz w:val="24"/>
                <w:szCs w:val="24"/>
              </w:rPr>
              <w:t>8</w:t>
            </w:r>
            <w:r w:rsidRPr="00FD74E9">
              <w:rPr>
                <w:rFonts w:ascii="宋体" w:eastAsia="宋体" w:hAnsi="宋体" w:hint="eastAsia"/>
                <w:sz w:val="24"/>
                <w:szCs w:val="24"/>
              </w:rPr>
              <w:t xml:space="preserve"> 年排放量（tCO2/t)</w:t>
            </w:r>
          </w:p>
        </w:tc>
      </w:tr>
      <w:tr w:rsidR="003C049E" w14:paraId="70F4F06D" w14:textId="77777777" w:rsidTr="00FD74E9">
        <w:trPr>
          <w:trHeight w:val="240"/>
        </w:trPr>
        <w:tc>
          <w:tcPr>
            <w:tcW w:w="1008" w:type="dxa"/>
            <w:vAlign w:val="center"/>
          </w:tcPr>
          <w:p w14:paraId="6D9579E6" w14:textId="6F6CB299" w:rsidR="003C049E" w:rsidRPr="00FD74E9" w:rsidRDefault="003C049E" w:rsidP="00AB40CE">
            <w:pPr>
              <w:ind w:leftChars="-7" w:left="-1" w:hangingChars="6" w:hanging="14"/>
              <w:jc w:val="center"/>
              <w:rPr>
                <w:rFonts w:ascii="宋体" w:eastAsia="宋体" w:hAnsi="宋体"/>
                <w:sz w:val="24"/>
                <w:szCs w:val="24"/>
              </w:rPr>
            </w:pPr>
            <w:r w:rsidRPr="00FD74E9">
              <w:rPr>
                <w:rFonts w:ascii="宋体" w:eastAsia="宋体" w:hAnsi="宋体" w:hint="eastAsia"/>
                <w:sz w:val="24"/>
                <w:szCs w:val="24"/>
              </w:rPr>
              <w:t>tCO</w:t>
            </w:r>
            <w:r w:rsidRPr="00FD74E9">
              <w:rPr>
                <w:rFonts w:ascii="宋体" w:eastAsia="宋体" w:hAnsi="宋体" w:hint="eastAsia"/>
                <w:sz w:val="24"/>
                <w:szCs w:val="24"/>
                <w:vertAlign w:val="subscript"/>
              </w:rPr>
              <w:t>2</w:t>
            </w:r>
            <w:r w:rsidRPr="00FD74E9">
              <w:rPr>
                <w:rFonts w:ascii="宋体" w:eastAsia="宋体" w:hAnsi="宋体" w:hint="eastAsia"/>
                <w:sz w:val="24"/>
                <w:szCs w:val="24"/>
              </w:rPr>
              <w:t>/t</w:t>
            </w:r>
          </w:p>
        </w:tc>
        <w:tc>
          <w:tcPr>
            <w:tcW w:w="1417" w:type="dxa"/>
            <w:vAlign w:val="center"/>
          </w:tcPr>
          <w:p w14:paraId="1A725EE6" w14:textId="26037BA5" w:rsidR="003C049E" w:rsidRPr="00FD74E9" w:rsidRDefault="003C049E" w:rsidP="00AB40CE">
            <w:pPr>
              <w:widowControl/>
              <w:ind w:leftChars="-7" w:left="-2" w:hangingChars="6" w:hanging="13"/>
              <w:jc w:val="center"/>
              <w:textAlignment w:val="center"/>
              <w:rPr>
                <w:b/>
                <w:bCs/>
                <w:color w:val="000000"/>
                <w:sz w:val="22"/>
              </w:rPr>
            </w:pPr>
            <w:r w:rsidRPr="00FD74E9">
              <w:rPr>
                <w:b/>
                <w:bCs/>
                <w:color w:val="000000"/>
                <w:sz w:val="22"/>
              </w:rPr>
              <w:t>14.4</w:t>
            </w:r>
          </w:p>
        </w:tc>
        <w:tc>
          <w:tcPr>
            <w:tcW w:w="1418" w:type="dxa"/>
            <w:vAlign w:val="center"/>
          </w:tcPr>
          <w:p w14:paraId="30AF583A" w14:textId="649C3137" w:rsidR="003C049E" w:rsidRPr="00FD74E9" w:rsidRDefault="003C049E" w:rsidP="00AB40CE">
            <w:pPr>
              <w:widowControl/>
              <w:ind w:leftChars="-7" w:left="-2" w:hangingChars="6" w:hanging="13"/>
              <w:jc w:val="center"/>
              <w:textAlignment w:val="center"/>
              <w:rPr>
                <w:b/>
                <w:bCs/>
                <w:color w:val="000000"/>
                <w:sz w:val="22"/>
              </w:rPr>
            </w:pPr>
            <w:r w:rsidRPr="00FD74E9">
              <w:rPr>
                <w:b/>
                <w:bCs/>
                <w:color w:val="000000"/>
                <w:sz w:val="22"/>
              </w:rPr>
              <w:t>13.9</w:t>
            </w:r>
          </w:p>
        </w:tc>
        <w:tc>
          <w:tcPr>
            <w:tcW w:w="1417" w:type="dxa"/>
            <w:vAlign w:val="center"/>
          </w:tcPr>
          <w:p w14:paraId="51D86529" w14:textId="5718E9EA" w:rsidR="003C049E" w:rsidRPr="00FD74E9" w:rsidRDefault="003C049E" w:rsidP="00AB40CE">
            <w:pPr>
              <w:widowControl/>
              <w:ind w:leftChars="-7" w:left="-2" w:hangingChars="6" w:hanging="13"/>
              <w:jc w:val="center"/>
              <w:textAlignment w:val="center"/>
              <w:rPr>
                <w:b/>
                <w:bCs/>
                <w:color w:val="000000"/>
                <w:sz w:val="22"/>
              </w:rPr>
            </w:pPr>
            <w:r w:rsidRPr="00FD74E9">
              <w:rPr>
                <w:b/>
                <w:bCs/>
                <w:color w:val="000000"/>
                <w:sz w:val="22"/>
              </w:rPr>
              <w:t>13.4</w:t>
            </w:r>
          </w:p>
        </w:tc>
        <w:tc>
          <w:tcPr>
            <w:tcW w:w="1418" w:type="dxa"/>
            <w:vAlign w:val="center"/>
          </w:tcPr>
          <w:p w14:paraId="75ADC9A8" w14:textId="71D2952A" w:rsidR="003C049E" w:rsidRPr="00FD74E9" w:rsidRDefault="003C049E" w:rsidP="00AB40CE">
            <w:pPr>
              <w:widowControl/>
              <w:ind w:leftChars="-7" w:left="-2" w:hangingChars="6" w:hanging="13"/>
              <w:jc w:val="center"/>
              <w:textAlignment w:val="center"/>
              <w:rPr>
                <w:b/>
                <w:bCs/>
                <w:color w:val="000000"/>
                <w:sz w:val="22"/>
              </w:rPr>
            </w:pPr>
            <w:r w:rsidRPr="00FD74E9">
              <w:rPr>
                <w:b/>
                <w:bCs/>
                <w:color w:val="000000"/>
                <w:sz w:val="22"/>
              </w:rPr>
              <w:t>12.5</w:t>
            </w:r>
          </w:p>
        </w:tc>
        <w:tc>
          <w:tcPr>
            <w:tcW w:w="1417" w:type="dxa"/>
            <w:vAlign w:val="center"/>
          </w:tcPr>
          <w:p w14:paraId="271E2439" w14:textId="36B16053" w:rsidR="003C049E" w:rsidRPr="00FD74E9" w:rsidRDefault="003C049E" w:rsidP="00AB40CE">
            <w:pPr>
              <w:widowControl/>
              <w:ind w:leftChars="-7" w:left="-2" w:hangingChars="6" w:hanging="13"/>
              <w:jc w:val="center"/>
              <w:textAlignment w:val="center"/>
              <w:rPr>
                <w:b/>
                <w:bCs/>
                <w:color w:val="000000"/>
                <w:sz w:val="22"/>
              </w:rPr>
            </w:pPr>
            <w:r w:rsidRPr="00FD74E9">
              <w:rPr>
                <w:b/>
                <w:bCs/>
                <w:color w:val="000000"/>
                <w:sz w:val="22"/>
              </w:rPr>
              <w:t>12.4</w:t>
            </w:r>
          </w:p>
        </w:tc>
        <w:tc>
          <w:tcPr>
            <w:tcW w:w="1418" w:type="dxa"/>
            <w:vAlign w:val="center"/>
          </w:tcPr>
          <w:p w14:paraId="4A6071A7" w14:textId="4DC91190" w:rsidR="003C049E" w:rsidRPr="00FD74E9" w:rsidRDefault="003C049E" w:rsidP="00AB40CE">
            <w:pPr>
              <w:widowControl/>
              <w:ind w:leftChars="-7" w:left="-2" w:hangingChars="6" w:hanging="13"/>
              <w:jc w:val="center"/>
              <w:textAlignment w:val="center"/>
              <w:rPr>
                <w:b/>
                <w:bCs/>
                <w:color w:val="000000"/>
                <w:sz w:val="22"/>
              </w:rPr>
            </w:pPr>
            <w:r w:rsidRPr="00FD74E9">
              <w:rPr>
                <w:b/>
                <w:bCs/>
                <w:color w:val="000000"/>
                <w:sz w:val="22"/>
              </w:rPr>
              <w:t>11.8</w:t>
            </w:r>
          </w:p>
        </w:tc>
      </w:tr>
    </w:tbl>
    <w:p w14:paraId="535981F9" w14:textId="77777777" w:rsidR="00B8389F" w:rsidRDefault="00B8389F" w:rsidP="00AB40CE">
      <w:pPr>
        <w:ind w:leftChars="-7" w:left="-1" w:hangingChars="6" w:hanging="14"/>
        <w:jc w:val="center"/>
        <w:rPr>
          <w:rFonts w:ascii="宋体" w:eastAsia="宋体" w:hAnsi="宋体"/>
          <w:sz w:val="24"/>
          <w:szCs w:val="24"/>
        </w:rPr>
      </w:pPr>
    </w:p>
    <w:p w14:paraId="66E38273"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1、排放因子采用了生态环境部《中国产品全生命周期温室气体排放系数集（2022）》, 生态环境部《关于做好2023-2025年发电行业企业温室气体排放报</w:t>
      </w:r>
      <w:proofErr w:type="gramStart"/>
      <w:r>
        <w:rPr>
          <w:rFonts w:ascii="宋体" w:eastAsia="宋体" w:hAnsi="宋体" w:hint="eastAsia"/>
          <w:sz w:val="24"/>
          <w:szCs w:val="24"/>
        </w:rPr>
        <w:t>告管理</w:t>
      </w:r>
      <w:proofErr w:type="gramEnd"/>
      <w:r>
        <w:rPr>
          <w:rFonts w:ascii="宋体" w:eastAsia="宋体" w:hAnsi="宋体" w:hint="eastAsia"/>
          <w:sz w:val="24"/>
          <w:szCs w:val="24"/>
        </w:rPr>
        <w:t>有关工作的通知</w:t>
      </w:r>
      <w:proofErr w:type="gramStart"/>
      <w:r>
        <w:rPr>
          <w:rFonts w:ascii="宋体" w:eastAsia="宋体" w:hAnsi="宋体" w:hint="eastAsia"/>
          <w:sz w:val="24"/>
          <w:szCs w:val="24"/>
        </w:rPr>
        <w:t>》</w:t>
      </w:r>
      <w:proofErr w:type="gramEnd"/>
      <w:r>
        <w:rPr>
          <w:rFonts w:ascii="宋体" w:eastAsia="宋体" w:hAnsi="宋体" w:hint="eastAsia"/>
          <w:sz w:val="24"/>
          <w:szCs w:val="24"/>
        </w:rPr>
        <w:t>,《IPCC 2006年国家温室气体清单指南》</w:t>
      </w:r>
    </w:p>
    <w:p w14:paraId="5A10B448" w14:textId="2F82E917" w:rsidR="00B8389F" w:rsidRDefault="001C4864">
      <w:pPr>
        <w:ind w:firstLineChars="200" w:firstLine="480"/>
        <w:rPr>
          <w:rFonts w:ascii="宋体" w:eastAsia="宋体" w:hAnsi="宋体"/>
          <w:sz w:val="24"/>
          <w:szCs w:val="24"/>
        </w:rPr>
      </w:pPr>
      <w:r>
        <w:rPr>
          <w:rFonts w:ascii="宋体" w:eastAsia="宋体" w:hAnsi="宋体" w:hint="eastAsia"/>
          <w:sz w:val="24"/>
          <w:szCs w:val="24"/>
        </w:rPr>
        <w:t>2、产品碳</w:t>
      </w:r>
      <w:proofErr w:type="gramStart"/>
      <w:r w:rsidR="006B1061">
        <w:rPr>
          <w:rFonts w:ascii="宋体" w:eastAsia="宋体" w:hAnsi="宋体" w:hint="eastAsia"/>
          <w:sz w:val="24"/>
          <w:szCs w:val="24"/>
        </w:rPr>
        <w:t>碳</w:t>
      </w:r>
      <w:proofErr w:type="gramEnd"/>
      <w:r w:rsidR="006B1061">
        <w:rPr>
          <w:rFonts w:ascii="宋体" w:eastAsia="宋体" w:hAnsi="宋体" w:hint="eastAsia"/>
          <w:sz w:val="24"/>
          <w:szCs w:val="24"/>
        </w:rPr>
        <w:t>足迹</w:t>
      </w:r>
      <w:r>
        <w:rPr>
          <w:rFonts w:ascii="宋体" w:eastAsia="宋体" w:hAnsi="宋体" w:hint="eastAsia"/>
          <w:sz w:val="24"/>
          <w:szCs w:val="24"/>
        </w:rPr>
        <w:t>计算方法：</w:t>
      </w:r>
    </w:p>
    <w:p w14:paraId="4A5592B5" w14:textId="022A7901" w:rsidR="004875A7" w:rsidRDefault="004875A7">
      <w:pPr>
        <w:ind w:firstLineChars="200" w:firstLine="480"/>
        <w:rPr>
          <w:rFonts w:ascii="宋体" w:eastAsia="宋体" w:hAnsi="宋体"/>
          <w:sz w:val="24"/>
          <w:szCs w:val="24"/>
        </w:rPr>
      </w:pPr>
      <w:r w:rsidRPr="00AB40CE">
        <w:rPr>
          <w:rFonts w:ascii="宋体" w:eastAsia="宋体" w:hAnsi="宋体"/>
          <w:sz w:val="24"/>
          <w:szCs w:val="24"/>
        </w:rPr>
        <w:t>LCA 排放因子的来源选用了</w:t>
      </w:r>
      <w:proofErr w:type="spellStart"/>
      <w:r w:rsidRPr="00AB40CE">
        <w:rPr>
          <w:rFonts w:ascii="宋体" w:eastAsia="宋体" w:hAnsi="宋体"/>
          <w:sz w:val="24"/>
          <w:szCs w:val="24"/>
        </w:rPr>
        <w:t>Ecoinvent</w:t>
      </w:r>
      <w:proofErr w:type="spellEnd"/>
      <w:r w:rsidRPr="00AB40CE">
        <w:rPr>
          <w:rFonts w:ascii="宋体" w:eastAsia="宋体" w:hAnsi="宋体" w:hint="eastAsia"/>
          <w:sz w:val="24"/>
          <w:szCs w:val="24"/>
        </w:rPr>
        <w:t>、ELCD、</w:t>
      </w:r>
      <w:r w:rsidRPr="00AB40CE">
        <w:rPr>
          <w:rFonts w:ascii="宋体" w:eastAsia="宋体" w:hAnsi="宋体"/>
          <w:sz w:val="24"/>
          <w:szCs w:val="24"/>
        </w:rPr>
        <w:t>CLCD数据库；</w:t>
      </w:r>
    </w:p>
    <w:p w14:paraId="23218A52" w14:textId="77E44F9A" w:rsidR="00B8389F" w:rsidRDefault="006B1061" w:rsidP="00895480">
      <w:pPr>
        <w:ind w:firstLineChars="200" w:firstLine="480"/>
        <w:rPr>
          <w:rFonts w:ascii="宋体" w:eastAsia="宋体" w:hAnsi="宋体"/>
          <w:sz w:val="24"/>
          <w:szCs w:val="24"/>
        </w:rPr>
      </w:pPr>
      <w:r>
        <w:rPr>
          <w:rFonts w:ascii="宋体" w:eastAsia="宋体" w:hAnsi="宋体" w:hint="eastAsia"/>
          <w:sz w:val="24"/>
          <w:szCs w:val="24"/>
        </w:rPr>
        <w:t>铝合金轮毂</w:t>
      </w:r>
      <w:r w:rsidR="00555B11">
        <w:rPr>
          <w:rFonts w:ascii="宋体" w:eastAsia="宋体" w:hAnsi="宋体" w:hint="eastAsia"/>
          <w:sz w:val="24"/>
          <w:szCs w:val="24"/>
        </w:rPr>
        <w:t>产品碳</w:t>
      </w:r>
      <w:r>
        <w:rPr>
          <w:rFonts w:ascii="宋体" w:eastAsia="宋体" w:hAnsi="宋体" w:hint="eastAsia"/>
          <w:sz w:val="24"/>
          <w:szCs w:val="24"/>
        </w:rPr>
        <w:t>足迹</w:t>
      </w:r>
      <w:r w:rsidR="001C4864">
        <w:rPr>
          <w:rFonts w:ascii="宋体" w:eastAsia="宋体" w:hAnsi="宋体" w:hint="eastAsia"/>
          <w:sz w:val="24"/>
          <w:szCs w:val="24"/>
        </w:rPr>
        <w:t>的计算</w:t>
      </w:r>
      <w:r w:rsidR="00555B11">
        <w:rPr>
          <w:rFonts w:ascii="宋体" w:eastAsia="宋体" w:hAnsi="宋体" w:hint="eastAsia"/>
          <w:sz w:val="24"/>
          <w:szCs w:val="24"/>
        </w:rPr>
        <w:t>采用了生命周期原理，</w:t>
      </w:r>
      <w:r w:rsidR="00895480">
        <w:rPr>
          <w:rFonts w:ascii="宋体" w:eastAsia="宋体" w:hAnsi="宋体" w:hint="eastAsia"/>
          <w:sz w:val="24"/>
          <w:szCs w:val="24"/>
        </w:rPr>
        <w:t>涵盖了</w:t>
      </w:r>
      <w:r w:rsidR="00895480" w:rsidRPr="00895480">
        <w:rPr>
          <w:rFonts w:ascii="宋体" w:eastAsia="宋体" w:hAnsi="宋体"/>
          <w:sz w:val="24"/>
          <w:szCs w:val="24"/>
        </w:rPr>
        <w:t>铝液生产</w:t>
      </w:r>
      <w:r w:rsidR="00895480">
        <w:rPr>
          <w:rFonts w:ascii="宋体" w:eastAsia="宋体" w:hAnsi="宋体" w:hint="eastAsia"/>
          <w:sz w:val="24"/>
          <w:szCs w:val="24"/>
        </w:rPr>
        <w:t>、</w:t>
      </w:r>
      <w:r w:rsidR="00895480" w:rsidRPr="00895480">
        <w:rPr>
          <w:rFonts w:ascii="宋体" w:eastAsia="宋体" w:hAnsi="宋体" w:hint="eastAsia"/>
          <w:sz w:val="24"/>
          <w:szCs w:val="24"/>
        </w:rPr>
        <w:t>铝合金液生产</w:t>
      </w:r>
      <w:r w:rsidR="00895480">
        <w:rPr>
          <w:rFonts w:ascii="宋体" w:eastAsia="宋体" w:hAnsi="宋体" w:hint="eastAsia"/>
          <w:sz w:val="24"/>
          <w:szCs w:val="24"/>
        </w:rPr>
        <w:t>、</w:t>
      </w:r>
      <w:r w:rsidR="00895480" w:rsidRPr="00895480">
        <w:rPr>
          <w:rFonts w:ascii="宋体" w:eastAsia="宋体" w:hAnsi="宋体" w:hint="eastAsia"/>
          <w:sz w:val="24"/>
          <w:szCs w:val="24"/>
        </w:rPr>
        <w:t>压铸</w:t>
      </w:r>
      <w:r w:rsidR="00895480">
        <w:rPr>
          <w:rFonts w:ascii="宋体" w:eastAsia="宋体" w:hAnsi="宋体" w:hint="eastAsia"/>
          <w:sz w:val="24"/>
          <w:szCs w:val="24"/>
        </w:rPr>
        <w:t>、</w:t>
      </w:r>
      <w:r w:rsidR="00895480" w:rsidRPr="00895480">
        <w:rPr>
          <w:rFonts w:ascii="宋体" w:eastAsia="宋体" w:hAnsi="宋体" w:hint="eastAsia"/>
          <w:sz w:val="24"/>
          <w:szCs w:val="24"/>
        </w:rPr>
        <w:t>热处理</w:t>
      </w:r>
      <w:r w:rsidR="00895480">
        <w:rPr>
          <w:rFonts w:ascii="宋体" w:eastAsia="宋体" w:hAnsi="宋体" w:hint="eastAsia"/>
          <w:sz w:val="24"/>
          <w:szCs w:val="24"/>
        </w:rPr>
        <w:t>、</w:t>
      </w:r>
      <w:r w:rsidR="00895480" w:rsidRPr="00895480">
        <w:rPr>
          <w:rFonts w:ascii="宋体" w:eastAsia="宋体" w:hAnsi="宋体" w:hint="eastAsia"/>
          <w:sz w:val="24"/>
          <w:szCs w:val="24"/>
        </w:rPr>
        <w:t>机加工</w:t>
      </w:r>
      <w:r w:rsidR="00895480">
        <w:rPr>
          <w:rFonts w:ascii="宋体" w:eastAsia="宋体" w:hAnsi="宋体" w:hint="eastAsia"/>
          <w:sz w:val="24"/>
          <w:szCs w:val="24"/>
        </w:rPr>
        <w:t>、</w:t>
      </w:r>
      <w:r w:rsidR="00895480" w:rsidRPr="00895480">
        <w:rPr>
          <w:rFonts w:ascii="宋体" w:eastAsia="宋体" w:hAnsi="宋体" w:hint="eastAsia"/>
          <w:sz w:val="24"/>
          <w:szCs w:val="24"/>
        </w:rPr>
        <w:t>涂装</w:t>
      </w:r>
      <w:r w:rsidR="00895480">
        <w:rPr>
          <w:rFonts w:ascii="宋体" w:eastAsia="宋体" w:hAnsi="宋体" w:hint="eastAsia"/>
          <w:sz w:val="24"/>
          <w:szCs w:val="24"/>
        </w:rPr>
        <w:t>、</w:t>
      </w:r>
      <w:r w:rsidR="00895480" w:rsidRPr="00895480">
        <w:rPr>
          <w:rFonts w:ascii="宋体" w:eastAsia="宋体" w:hAnsi="宋体" w:hint="eastAsia"/>
          <w:sz w:val="24"/>
          <w:szCs w:val="24"/>
        </w:rPr>
        <w:t>包装</w:t>
      </w:r>
      <w:r w:rsidR="00895480">
        <w:rPr>
          <w:rFonts w:ascii="宋体" w:eastAsia="宋体" w:hAnsi="宋体" w:hint="eastAsia"/>
          <w:sz w:val="24"/>
          <w:szCs w:val="24"/>
        </w:rPr>
        <w:t>、</w:t>
      </w:r>
      <w:r w:rsidR="00895480" w:rsidRPr="00895480">
        <w:rPr>
          <w:rFonts w:ascii="宋体" w:eastAsia="宋体" w:hAnsi="宋体" w:hint="eastAsia"/>
          <w:sz w:val="24"/>
          <w:szCs w:val="24"/>
        </w:rPr>
        <w:t>废水处理</w:t>
      </w:r>
      <w:r w:rsidR="00895480">
        <w:rPr>
          <w:rFonts w:ascii="宋体" w:eastAsia="宋体" w:hAnsi="宋体" w:hint="eastAsia"/>
          <w:sz w:val="24"/>
          <w:szCs w:val="24"/>
        </w:rPr>
        <w:t>等</w:t>
      </w:r>
      <w:r w:rsidR="00555B11">
        <w:rPr>
          <w:rFonts w:ascii="宋体" w:eastAsia="宋体" w:hAnsi="宋体" w:hint="eastAsia"/>
          <w:sz w:val="24"/>
          <w:szCs w:val="24"/>
        </w:rPr>
        <w:t>生命周期</w:t>
      </w:r>
      <w:r w:rsidR="00895480">
        <w:rPr>
          <w:rFonts w:ascii="宋体" w:eastAsia="宋体" w:hAnsi="宋体" w:hint="eastAsia"/>
          <w:sz w:val="24"/>
          <w:szCs w:val="24"/>
        </w:rPr>
        <w:t>过程，</w:t>
      </w:r>
      <w:r w:rsidR="001C4864">
        <w:rPr>
          <w:rFonts w:ascii="宋体" w:eastAsia="宋体" w:hAnsi="宋体" w:hint="eastAsia"/>
          <w:sz w:val="24"/>
          <w:szCs w:val="24"/>
        </w:rPr>
        <w:t>考虑了范围1、范围2和范围3的排放，其中范围1包括天然气、柴油、汽油</w:t>
      </w:r>
      <w:r w:rsidR="0064237D">
        <w:rPr>
          <w:rFonts w:ascii="宋体" w:eastAsia="宋体" w:hAnsi="宋体" w:hint="eastAsia"/>
          <w:sz w:val="24"/>
          <w:szCs w:val="24"/>
        </w:rPr>
        <w:t>使用</w:t>
      </w:r>
      <w:r w:rsidR="001C4864">
        <w:rPr>
          <w:rFonts w:ascii="宋体" w:eastAsia="宋体" w:hAnsi="宋体" w:hint="eastAsia"/>
          <w:sz w:val="24"/>
          <w:szCs w:val="24"/>
        </w:rPr>
        <w:t>产生的排放;范围2包括电力使用产生的排放;范围3包括</w:t>
      </w:r>
      <w:r w:rsidR="0064237D">
        <w:rPr>
          <w:rFonts w:ascii="宋体" w:eastAsia="宋体" w:hAnsi="宋体" w:hint="eastAsia"/>
          <w:sz w:val="24"/>
          <w:szCs w:val="24"/>
        </w:rPr>
        <w:t>购入的</w:t>
      </w:r>
      <w:r w:rsidR="001C4864">
        <w:rPr>
          <w:rFonts w:ascii="宋体" w:eastAsia="宋体" w:hAnsi="宋体" w:hint="eastAsia"/>
          <w:sz w:val="24"/>
          <w:szCs w:val="24"/>
        </w:rPr>
        <w:t>原材料</w:t>
      </w:r>
      <w:r w:rsidR="0064237D">
        <w:rPr>
          <w:rFonts w:ascii="宋体" w:eastAsia="宋体" w:hAnsi="宋体" w:hint="eastAsia"/>
          <w:sz w:val="24"/>
          <w:szCs w:val="24"/>
        </w:rPr>
        <w:t>铝液</w:t>
      </w:r>
      <w:r w:rsidR="00555B11">
        <w:rPr>
          <w:rFonts w:ascii="宋体" w:eastAsia="宋体" w:hAnsi="宋体" w:hint="eastAsia"/>
          <w:sz w:val="24"/>
          <w:szCs w:val="24"/>
        </w:rPr>
        <w:t>及其他原辅材料的</w:t>
      </w:r>
      <w:r w:rsidR="003C049E">
        <w:rPr>
          <w:rFonts w:ascii="宋体" w:eastAsia="宋体" w:hAnsi="宋体" w:hint="eastAsia"/>
          <w:sz w:val="24"/>
          <w:szCs w:val="24"/>
        </w:rPr>
        <w:t>生产</w:t>
      </w:r>
      <w:r w:rsidR="00555B11">
        <w:rPr>
          <w:rFonts w:ascii="宋体" w:eastAsia="宋体" w:hAnsi="宋体" w:hint="eastAsia"/>
          <w:sz w:val="24"/>
          <w:szCs w:val="24"/>
        </w:rPr>
        <w:t>和运输</w:t>
      </w:r>
      <w:r w:rsidR="0064237D">
        <w:rPr>
          <w:rFonts w:ascii="宋体" w:eastAsia="宋体" w:hAnsi="宋体" w:hint="eastAsia"/>
          <w:sz w:val="24"/>
          <w:szCs w:val="24"/>
        </w:rPr>
        <w:t>碳</w:t>
      </w:r>
      <w:r w:rsidR="001C4864">
        <w:rPr>
          <w:rFonts w:ascii="宋体" w:eastAsia="宋体" w:hAnsi="宋体" w:hint="eastAsia"/>
          <w:sz w:val="24"/>
          <w:szCs w:val="24"/>
        </w:rPr>
        <w:t>排放。</w:t>
      </w:r>
    </w:p>
    <w:p w14:paraId="43FF3A87" w14:textId="3BD8A7C5" w:rsidR="002A680B" w:rsidRDefault="00B80D0F" w:rsidP="00895480">
      <w:pPr>
        <w:ind w:firstLineChars="200" w:firstLine="480"/>
        <w:rPr>
          <w:rFonts w:ascii="宋体" w:eastAsia="宋体" w:hAnsi="宋体"/>
          <w:sz w:val="24"/>
          <w:szCs w:val="24"/>
        </w:rPr>
      </w:pPr>
      <w:r>
        <w:rPr>
          <w:rFonts w:ascii="宋体" w:eastAsia="宋体" w:hAnsi="宋体" w:hint="eastAsia"/>
          <w:sz w:val="24"/>
          <w:szCs w:val="24"/>
        </w:rPr>
        <w:t>基准年</w:t>
      </w:r>
      <w:r>
        <w:rPr>
          <w:rFonts w:ascii="宋体" w:eastAsia="宋体" w:hAnsi="宋体"/>
          <w:sz w:val="24"/>
          <w:szCs w:val="24"/>
        </w:rPr>
        <w:t>2023</w:t>
      </w:r>
      <w:r>
        <w:rPr>
          <w:rFonts w:ascii="宋体" w:eastAsia="宋体" w:hAnsi="宋体" w:hint="eastAsia"/>
          <w:sz w:val="24"/>
          <w:szCs w:val="24"/>
        </w:rPr>
        <w:t>年，</w:t>
      </w:r>
      <w:r w:rsidR="002A680B">
        <w:rPr>
          <w:rFonts w:ascii="宋体" w:eastAsia="宋体" w:hAnsi="宋体" w:hint="eastAsia"/>
          <w:sz w:val="24"/>
          <w:szCs w:val="24"/>
        </w:rPr>
        <w:t>1个铝合金轮毂</w:t>
      </w:r>
      <w:r w:rsidR="002A680B">
        <w:rPr>
          <w:rFonts w:ascii="宋体" w:eastAsia="宋体" w:hAnsi="宋体" w:hint="eastAsia"/>
          <w:sz w:val="24"/>
          <w:szCs w:val="24"/>
        </w:rPr>
        <w:t>碳足迹（2</w:t>
      </w:r>
      <w:r w:rsidR="002A680B">
        <w:rPr>
          <w:rFonts w:ascii="宋体" w:eastAsia="宋体" w:hAnsi="宋体"/>
          <w:sz w:val="24"/>
          <w:szCs w:val="24"/>
        </w:rPr>
        <w:t>37.2</w:t>
      </w:r>
      <w:r>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kg CO</w:t>
      </w:r>
      <w:r>
        <w:rPr>
          <w:rFonts w:ascii="Times New Roman" w:eastAsia="宋体" w:hAnsi="Times New Roman" w:cs="Times New Roman"/>
          <w:color w:val="000000"/>
          <w:kern w:val="0"/>
          <w:sz w:val="22"/>
          <w:vertAlign w:val="subscript"/>
        </w:rPr>
        <w:t>2</w:t>
      </w:r>
      <w:r>
        <w:rPr>
          <w:rFonts w:ascii="Times New Roman" w:eastAsia="宋体" w:hAnsi="Times New Roman" w:cs="Times New Roman"/>
          <w:color w:val="000000"/>
          <w:kern w:val="0"/>
          <w:sz w:val="22"/>
        </w:rPr>
        <w:t xml:space="preserve"> eq.</w:t>
      </w:r>
      <w:r w:rsidR="002A680B">
        <w:rPr>
          <w:rFonts w:ascii="宋体" w:eastAsia="宋体" w:hAnsi="宋体" w:hint="eastAsia"/>
          <w:sz w:val="24"/>
          <w:szCs w:val="24"/>
        </w:rPr>
        <w:t>）</w:t>
      </w:r>
      <w:r w:rsidR="002A680B">
        <w:rPr>
          <w:rFonts w:ascii="宋体" w:eastAsia="宋体" w:hAnsi="宋体"/>
          <w:sz w:val="24"/>
          <w:szCs w:val="24"/>
        </w:rPr>
        <w:t>=</w:t>
      </w:r>
      <w:r w:rsidR="002A680B">
        <w:rPr>
          <w:rFonts w:ascii="宋体" w:eastAsia="宋体" w:hAnsi="宋体" w:hint="eastAsia"/>
          <w:sz w:val="24"/>
          <w:szCs w:val="24"/>
        </w:rPr>
        <w:t>原材料获取（铝液，</w:t>
      </w:r>
      <w:r w:rsidR="002A680B">
        <w:rPr>
          <w:rFonts w:ascii="宋体" w:eastAsia="宋体" w:hAnsi="宋体"/>
          <w:sz w:val="24"/>
          <w:szCs w:val="24"/>
        </w:rPr>
        <w:t>198</w:t>
      </w:r>
      <w:r w:rsidRPr="00B80D0F">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kg CO</w:t>
      </w:r>
      <w:r>
        <w:rPr>
          <w:rFonts w:ascii="Times New Roman" w:eastAsia="宋体" w:hAnsi="Times New Roman" w:cs="Times New Roman"/>
          <w:color w:val="000000"/>
          <w:kern w:val="0"/>
          <w:sz w:val="22"/>
          <w:vertAlign w:val="subscript"/>
        </w:rPr>
        <w:t>2</w:t>
      </w:r>
      <w:r>
        <w:rPr>
          <w:rFonts w:ascii="Times New Roman" w:eastAsia="宋体" w:hAnsi="Times New Roman" w:cs="Times New Roman"/>
          <w:color w:val="000000"/>
          <w:kern w:val="0"/>
          <w:sz w:val="22"/>
        </w:rPr>
        <w:t xml:space="preserve"> eq.</w:t>
      </w:r>
      <w:r w:rsidR="002A680B">
        <w:rPr>
          <w:rFonts w:ascii="宋体" w:eastAsia="宋体" w:hAnsi="宋体" w:hint="eastAsia"/>
          <w:sz w:val="24"/>
          <w:szCs w:val="24"/>
        </w:rPr>
        <w:t>）+产品生产（</w:t>
      </w:r>
      <w:r w:rsidR="002A680B" w:rsidRPr="00895480">
        <w:rPr>
          <w:rFonts w:ascii="宋体" w:eastAsia="宋体" w:hAnsi="宋体" w:hint="eastAsia"/>
          <w:sz w:val="24"/>
          <w:szCs w:val="24"/>
        </w:rPr>
        <w:t>铝合金液生产</w:t>
      </w:r>
      <w:r w:rsidR="002A680B">
        <w:rPr>
          <w:rFonts w:ascii="宋体" w:eastAsia="宋体" w:hAnsi="宋体" w:hint="eastAsia"/>
          <w:sz w:val="24"/>
          <w:szCs w:val="24"/>
        </w:rPr>
        <w:t>、</w:t>
      </w:r>
      <w:r w:rsidR="002A680B" w:rsidRPr="00895480">
        <w:rPr>
          <w:rFonts w:ascii="宋体" w:eastAsia="宋体" w:hAnsi="宋体" w:hint="eastAsia"/>
          <w:sz w:val="24"/>
          <w:szCs w:val="24"/>
        </w:rPr>
        <w:t>压铸</w:t>
      </w:r>
      <w:r w:rsidR="002A680B">
        <w:rPr>
          <w:rFonts w:ascii="宋体" w:eastAsia="宋体" w:hAnsi="宋体" w:hint="eastAsia"/>
          <w:sz w:val="24"/>
          <w:szCs w:val="24"/>
        </w:rPr>
        <w:t>、</w:t>
      </w:r>
      <w:r w:rsidR="002A680B" w:rsidRPr="00895480">
        <w:rPr>
          <w:rFonts w:ascii="宋体" w:eastAsia="宋体" w:hAnsi="宋体" w:hint="eastAsia"/>
          <w:sz w:val="24"/>
          <w:szCs w:val="24"/>
        </w:rPr>
        <w:t>热处理</w:t>
      </w:r>
      <w:r w:rsidR="002A680B">
        <w:rPr>
          <w:rFonts w:ascii="宋体" w:eastAsia="宋体" w:hAnsi="宋体" w:hint="eastAsia"/>
          <w:sz w:val="24"/>
          <w:szCs w:val="24"/>
        </w:rPr>
        <w:t>、</w:t>
      </w:r>
      <w:r w:rsidR="002A680B" w:rsidRPr="00895480">
        <w:rPr>
          <w:rFonts w:ascii="宋体" w:eastAsia="宋体" w:hAnsi="宋体" w:hint="eastAsia"/>
          <w:sz w:val="24"/>
          <w:szCs w:val="24"/>
        </w:rPr>
        <w:t>机加工</w:t>
      </w:r>
      <w:r w:rsidR="002A680B">
        <w:rPr>
          <w:rFonts w:ascii="宋体" w:eastAsia="宋体" w:hAnsi="宋体" w:hint="eastAsia"/>
          <w:sz w:val="24"/>
          <w:szCs w:val="24"/>
        </w:rPr>
        <w:t>、</w:t>
      </w:r>
      <w:r w:rsidR="002A680B" w:rsidRPr="00895480">
        <w:rPr>
          <w:rFonts w:ascii="宋体" w:eastAsia="宋体" w:hAnsi="宋体" w:hint="eastAsia"/>
          <w:sz w:val="24"/>
          <w:szCs w:val="24"/>
        </w:rPr>
        <w:t>涂装</w:t>
      </w:r>
      <w:r w:rsidR="002A680B">
        <w:rPr>
          <w:rFonts w:ascii="宋体" w:eastAsia="宋体" w:hAnsi="宋体" w:hint="eastAsia"/>
          <w:sz w:val="24"/>
          <w:szCs w:val="24"/>
        </w:rPr>
        <w:t>、</w:t>
      </w:r>
      <w:r w:rsidR="002A680B" w:rsidRPr="00895480">
        <w:rPr>
          <w:rFonts w:ascii="宋体" w:eastAsia="宋体" w:hAnsi="宋体" w:hint="eastAsia"/>
          <w:sz w:val="24"/>
          <w:szCs w:val="24"/>
        </w:rPr>
        <w:t>包装</w:t>
      </w:r>
      <w:r w:rsidR="002A680B">
        <w:rPr>
          <w:rFonts w:ascii="宋体" w:eastAsia="宋体" w:hAnsi="宋体" w:hint="eastAsia"/>
          <w:sz w:val="24"/>
          <w:szCs w:val="24"/>
        </w:rPr>
        <w:t>、</w:t>
      </w:r>
      <w:r w:rsidR="002A680B" w:rsidRPr="00895480">
        <w:rPr>
          <w:rFonts w:ascii="宋体" w:eastAsia="宋体" w:hAnsi="宋体" w:hint="eastAsia"/>
          <w:sz w:val="24"/>
          <w:szCs w:val="24"/>
        </w:rPr>
        <w:t>废水处理</w:t>
      </w:r>
      <w:r w:rsidR="002A680B">
        <w:rPr>
          <w:rFonts w:ascii="宋体" w:eastAsia="宋体" w:hAnsi="宋体" w:hint="eastAsia"/>
          <w:sz w:val="24"/>
          <w:szCs w:val="24"/>
        </w:rPr>
        <w:t>等过程，</w:t>
      </w:r>
      <w:r w:rsidR="002A680B">
        <w:rPr>
          <w:rFonts w:ascii="宋体" w:eastAsia="宋体" w:hAnsi="宋体"/>
          <w:sz w:val="24"/>
          <w:szCs w:val="24"/>
        </w:rPr>
        <w:t>39.</w:t>
      </w:r>
      <w:r w:rsidR="002A680B">
        <w:rPr>
          <w:rFonts w:ascii="宋体" w:eastAsia="宋体" w:hAnsi="宋体"/>
          <w:sz w:val="24"/>
          <w:szCs w:val="24"/>
        </w:rPr>
        <w:t>2</w:t>
      </w:r>
      <w:r w:rsidRPr="00B80D0F">
        <w:rPr>
          <w:rFonts w:ascii="Times New Roman" w:eastAsia="宋体" w:hAnsi="Times New Roman" w:cs="Times New Roman"/>
          <w:color w:val="000000"/>
          <w:kern w:val="0"/>
          <w:sz w:val="22"/>
        </w:rPr>
        <w:t xml:space="preserve"> </w:t>
      </w:r>
      <w:r>
        <w:rPr>
          <w:rFonts w:ascii="Times New Roman" w:eastAsia="宋体" w:hAnsi="Times New Roman" w:cs="Times New Roman"/>
          <w:color w:val="000000"/>
          <w:kern w:val="0"/>
          <w:sz w:val="22"/>
        </w:rPr>
        <w:t>kg CO</w:t>
      </w:r>
      <w:r>
        <w:rPr>
          <w:rFonts w:ascii="Times New Roman" w:eastAsia="宋体" w:hAnsi="Times New Roman" w:cs="Times New Roman"/>
          <w:color w:val="000000"/>
          <w:kern w:val="0"/>
          <w:sz w:val="22"/>
          <w:vertAlign w:val="subscript"/>
        </w:rPr>
        <w:t>2</w:t>
      </w:r>
      <w:r>
        <w:rPr>
          <w:rFonts w:ascii="Times New Roman" w:eastAsia="宋体" w:hAnsi="Times New Roman" w:cs="Times New Roman"/>
          <w:color w:val="000000"/>
          <w:kern w:val="0"/>
          <w:sz w:val="22"/>
        </w:rPr>
        <w:t xml:space="preserve"> eq.</w:t>
      </w:r>
      <w:r w:rsidR="002A680B">
        <w:rPr>
          <w:rFonts w:ascii="宋体" w:eastAsia="宋体" w:hAnsi="宋体" w:hint="eastAsia"/>
          <w:sz w:val="24"/>
          <w:szCs w:val="24"/>
        </w:rPr>
        <w:t>）</w:t>
      </w:r>
    </w:p>
    <w:p w14:paraId="73733F86" w14:textId="2EBD4A46" w:rsidR="002A680B" w:rsidRDefault="002A680B" w:rsidP="000F0BE6">
      <w:pPr>
        <w:ind w:firstLineChars="200" w:firstLine="480"/>
        <w:rPr>
          <w:rFonts w:ascii="宋体" w:eastAsia="宋体" w:hAnsi="宋体" w:hint="eastAsia"/>
          <w:sz w:val="24"/>
          <w:szCs w:val="24"/>
        </w:rPr>
      </w:pPr>
      <w:r>
        <w:rPr>
          <w:rFonts w:ascii="宋体" w:eastAsia="宋体" w:hAnsi="宋体" w:hint="eastAsia"/>
          <w:sz w:val="24"/>
          <w:szCs w:val="24"/>
        </w:rPr>
        <w:t>1个铝合金轮毂重量为1</w:t>
      </w:r>
      <w:r>
        <w:rPr>
          <w:rFonts w:ascii="宋体" w:eastAsia="宋体" w:hAnsi="宋体"/>
          <w:sz w:val="24"/>
          <w:szCs w:val="24"/>
        </w:rPr>
        <w:t>3.77</w:t>
      </w:r>
      <w:r>
        <w:rPr>
          <w:rFonts w:ascii="宋体" w:eastAsia="宋体" w:hAnsi="宋体" w:hint="eastAsia"/>
          <w:sz w:val="24"/>
          <w:szCs w:val="24"/>
        </w:rPr>
        <w:t>k</w:t>
      </w:r>
      <w:r w:rsidR="00B80D0F">
        <w:rPr>
          <w:rFonts w:ascii="宋体" w:eastAsia="宋体" w:hAnsi="宋体" w:hint="eastAsia"/>
          <w:sz w:val="24"/>
          <w:szCs w:val="24"/>
        </w:rPr>
        <w:t>g，故基准年2</w:t>
      </w:r>
      <w:r w:rsidR="00B80D0F">
        <w:rPr>
          <w:rFonts w:ascii="宋体" w:eastAsia="宋体" w:hAnsi="宋体"/>
          <w:sz w:val="24"/>
          <w:szCs w:val="24"/>
        </w:rPr>
        <w:t>023</w:t>
      </w:r>
      <w:r w:rsidR="00B80D0F">
        <w:rPr>
          <w:rFonts w:ascii="宋体" w:eastAsia="宋体" w:hAnsi="宋体" w:hint="eastAsia"/>
          <w:sz w:val="24"/>
          <w:szCs w:val="24"/>
        </w:rPr>
        <w:t>年：</w:t>
      </w:r>
    </w:p>
    <w:p w14:paraId="0C718526" w14:textId="67231F63" w:rsidR="00895480" w:rsidRDefault="00982E94" w:rsidP="00895480">
      <w:pPr>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t</w:t>
      </w:r>
      <w:r w:rsidRPr="00982E94">
        <w:rPr>
          <w:rFonts w:ascii="宋体" w:eastAsia="宋体" w:hAnsi="宋体" w:hint="eastAsia"/>
          <w:sz w:val="24"/>
          <w:szCs w:val="24"/>
        </w:rPr>
        <w:t>铝合金轮毂</w:t>
      </w:r>
      <w:r>
        <w:rPr>
          <w:rFonts w:ascii="宋体" w:eastAsia="宋体" w:hAnsi="宋体" w:hint="eastAsia"/>
          <w:sz w:val="24"/>
          <w:szCs w:val="24"/>
        </w:rPr>
        <w:t>产品碳足迹</w:t>
      </w:r>
      <w:r w:rsidR="00895480">
        <w:rPr>
          <w:rFonts w:ascii="宋体" w:eastAsia="宋体" w:hAnsi="宋体" w:hint="eastAsia"/>
          <w:sz w:val="24"/>
          <w:szCs w:val="24"/>
        </w:rPr>
        <w:t>（1</w:t>
      </w:r>
      <w:r w:rsidR="00895480">
        <w:rPr>
          <w:rFonts w:ascii="宋体" w:eastAsia="宋体" w:hAnsi="宋体"/>
          <w:sz w:val="24"/>
          <w:szCs w:val="24"/>
        </w:rPr>
        <w:t>7.2</w:t>
      </w:r>
      <w:r w:rsidR="000F0BE6">
        <w:rPr>
          <w:rFonts w:ascii="宋体" w:eastAsia="宋体" w:hAnsi="宋体" w:hint="eastAsia"/>
          <w:sz w:val="24"/>
          <w:szCs w:val="24"/>
        </w:rPr>
        <w:t>tCO</w:t>
      </w:r>
      <w:r w:rsidR="000F0BE6" w:rsidRPr="00CA5DC4">
        <w:rPr>
          <w:rFonts w:ascii="宋体" w:eastAsia="宋体" w:hAnsi="宋体" w:hint="eastAsia"/>
          <w:sz w:val="24"/>
          <w:szCs w:val="24"/>
          <w:vertAlign w:val="subscript"/>
        </w:rPr>
        <w:t>2</w:t>
      </w:r>
      <w:r w:rsidR="000F0BE6">
        <w:rPr>
          <w:rFonts w:ascii="宋体" w:eastAsia="宋体" w:hAnsi="宋体" w:hint="eastAsia"/>
          <w:sz w:val="24"/>
          <w:szCs w:val="24"/>
        </w:rPr>
        <w:t>/t</w:t>
      </w:r>
      <w:r w:rsidR="00895480">
        <w:rPr>
          <w:rFonts w:ascii="宋体" w:eastAsia="宋体" w:hAnsi="宋体" w:hint="eastAsia"/>
          <w:sz w:val="24"/>
          <w:szCs w:val="24"/>
        </w:rPr>
        <w:t>）=原材料获取（</w:t>
      </w:r>
      <w:r w:rsidR="0064237D">
        <w:rPr>
          <w:rFonts w:ascii="宋体" w:eastAsia="宋体" w:hAnsi="宋体" w:hint="eastAsia"/>
          <w:sz w:val="24"/>
          <w:szCs w:val="24"/>
        </w:rPr>
        <w:t>铝液，</w:t>
      </w:r>
      <w:r>
        <w:rPr>
          <w:rFonts w:ascii="宋体" w:eastAsia="宋体" w:hAnsi="宋体"/>
          <w:sz w:val="24"/>
          <w:szCs w:val="24"/>
        </w:rPr>
        <w:t>14.4</w:t>
      </w:r>
      <w:r w:rsidR="000F0BE6">
        <w:rPr>
          <w:rFonts w:ascii="宋体" w:eastAsia="宋体" w:hAnsi="宋体" w:hint="eastAsia"/>
          <w:sz w:val="24"/>
          <w:szCs w:val="24"/>
        </w:rPr>
        <w:t>tCO</w:t>
      </w:r>
      <w:r w:rsidR="000F0BE6" w:rsidRPr="00CA5DC4">
        <w:rPr>
          <w:rFonts w:ascii="宋体" w:eastAsia="宋体" w:hAnsi="宋体" w:hint="eastAsia"/>
          <w:sz w:val="24"/>
          <w:szCs w:val="24"/>
          <w:vertAlign w:val="subscript"/>
        </w:rPr>
        <w:t>2</w:t>
      </w:r>
      <w:r w:rsidR="000F0BE6">
        <w:rPr>
          <w:rFonts w:ascii="宋体" w:eastAsia="宋体" w:hAnsi="宋体" w:hint="eastAsia"/>
          <w:sz w:val="24"/>
          <w:szCs w:val="24"/>
        </w:rPr>
        <w:t>/t</w:t>
      </w:r>
      <w:r w:rsidR="00895480">
        <w:rPr>
          <w:rFonts w:ascii="宋体" w:eastAsia="宋体" w:hAnsi="宋体" w:hint="eastAsia"/>
          <w:sz w:val="24"/>
          <w:szCs w:val="24"/>
        </w:rPr>
        <w:t>）+</w:t>
      </w:r>
      <w:r w:rsidR="00F72D23">
        <w:rPr>
          <w:rFonts w:ascii="宋体" w:eastAsia="宋体" w:hAnsi="宋体" w:hint="eastAsia"/>
          <w:sz w:val="24"/>
          <w:szCs w:val="24"/>
        </w:rPr>
        <w:t>产品生产（</w:t>
      </w:r>
      <w:r w:rsidR="00F72D23" w:rsidRPr="00895480">
        <w:rPr>
          <w:rFonts w:ascii="宋体" w:eastAsia="宋体" w:hAnsi="宋体" w:hint="eastAsia"/>
          <w:sz w:val="24"/>
          <w:szCs w:val="24"/>
        </w:rPr>
        <w:t>铝合金液生产</w:t>
      </w:r>
      <w:r w:rsidR="00F72D23">
        <w:rPr>
          <w:rFonts w:ascii="宋体" w:eastAsia="宋体" w:hAnsi="宋体" w:hint="eastAsia"/>
          <w:sz w:val="24"/>
          <w:szCs w:val="24"/>
        </w:rPr>
        <w:t>、</w:t>
      </w:r>
      <w:r w:rsidR="00F72D23" w:rsidRPr="00895480">
        <w:rPr>
          <w:rFonts w:ascii="宋体" w:eastAsia="宋体" w:hAnsi="宋体" w:hint="eastAsia"/>
          <w:sz w:val="24"/>
          <w:szCs w:val="24"/>
        </w:rPr>
        <w:t>压铸</w:t>
      </w:r>
      <w:r w:rsidR="00F72D23">
        <w:rPr>
          <w:rFonts w:ascii="宋体" w:eastAsia="宋体" w:hAnsi="宋体" w:hint="eastAsia"/>
          <w:sz w:val="24"/>
          <w:szCs w:val="24"/>
        </w:rPr>
        <w:t>、</w:t>
      </w:r>
      <w:r w:rsidR="00F72D23" w:rsidRPr="00895480">
        <w:rPr>
          <w:rFonts w:ascii="宋体" w:eastAsia="宋体" w:hAnsi="宋体" w:hint="eastAsia"/>
          <w:sz w:val="24"/>
          <w:szCs w:val="24"/>
        </w:rPr>
        <w:t>热处理</w:t>
      </w:r>
      <w:r w:rsidR="00F72D23">
        <w:rPr>
          <w:rFonts w:ascii="宋体" w:eastAsia="宋体" w:hAnsi="宋体" w:hint="eastAsia"/>
          <w:sz w:val="24"/>
          <w:szCs w:val="24"/>
        </w:rPr>
        <w:t>、</w:t>
      </w:r>
      <w:r w:rsidR="00F72D23" w:rsidRPr="00895480">
        <w:rPr>
          <w:rFonts w:ascii="宋体" w:eastAsia="宋体" w:hAnsi="宋体" w:hint="eastAsia"/>
          <w:sz w:val="24"/>
          <w:szCs w:val="24"/>
        </w:rPr>
        <w:t>机加工</w:t>
      </w:r>
      <w:r w:rsidR="00F72D23">
        <w:rPr>
          <w:rFonts w:ascii="宋体" w:eastAsia="宋体" w:hAnsi="宋体" w:hint="eastAsia"/>
          <w:sz w:val="24"/>
          <w:szCs w:val="24"/>
        </w:rPr>
        <w:t>、</w:t>
      </w:r>
      <w:r w:rsidR="00F72D23" w:rsidRPr="00895480">
        <w:rPr>
          <w:rFonts w:ascii="宋体" w:eastAsia="宋体" w:hAnsi="宋体" w:hint="eastAsia"/>
          <w:sz w:val="24"/>
          <w:szCs w:val="24"/>
        </w:rPr>
        <w:t>涂装</w:t>
      </w:r>
      <w:r w:rsidR="00F72D23">
        <w:rPr>
          <w:rFonts w:ascii="宋体" w:eastAsia="宋体" w:hAnsi="宋体" w:hint="eastAsia"/>
          <w:sz w:val="24"/>
          <w:szCs w:val="24"/>
        </w:rPr>
        <w:t>、</w:t>
      </w:r>
      <w:r w:rsidR="00F72D23" w:rsidRPr="00895480">
        <w:rPr>
          <w:rFonts w:ascii="宋体" w:eastAsia="宋体" w:hAnsi="宋体" w:hint="eastAsia"/>
          <w:sz w:val="24"/>
          <w:szCs w:val="24"/>
        </w:rPr>
        <w:t>包装</w:t>
      </w:r>
      <w:r w:rsidR="00F72D23">
        <w:rPr>
          <w:rFonts w:ascii="宋体" w:eastAsia="宋体" w:hAnsi="宋体" w:hint="eastAsia"/>
          <w:sz w:val="24"/>
          <w:szCs w:val="24"/>
        </w:rPr>
        <w:t>、</w:t>
      </w:r>
      <w:r w:rsidR="00F72D23" w:rsidRPr="00895480">
        <w:rPr>
          <w:rFonts w:ascii="宋体" w:eastAsia="宋体" w:hAnsi="宋体" w:hint="eastAsia"/>
          <w:sz w:val="24"/>
          <w:szCs w:val="24"/>
        </w:rPr>
        <w:t>废水处理</w:t>
      </w:r>
      <w:r w:rsidR="00F72D23">
        <w:rPr>
          <w:rFonts w:ascii="宋体" w:eastAsia="宋体" w:hAnsi="宋体" w:hint="eastAsia"/>
          <w:sz w:val="24"/>
          <w:szCs w:val="24"/>
        </w:rPr>
        <w:t>等过程，2</w:t>
      </w:r>
      <w:r w:rsidR="00F72D23">
        <w:rPr>
          <w:rFonts w:ascii="宋体" w:eastAsia="宋体" w:hAnsi="宋体"/>
          <w:sz w:val="24"/>
          <w:szCs w:val="24"/>
        </w:rPr>
        <w:t>.85</w:t>
      </w:r>
      <w:r w:rsidR="000F0BE6">
        <w:rPr>
          <w:rFonts w:ascii="宋体" w:eastAsia="宋体" w:hAnsi="宋体" w:hint="eastAsia"/>
          <w:sz w:val="24"/>
          <w:szCs w:val="24"/>
        </w:rPr>
        <w:t>tCO</w:t>
      </w:r>
      <w:r w:rsidR="000F0BE6" w:rsidRPr="00CA5DC4">
        <w:rPr>
          <w:rFonts w:ascii="宋体" w:eastAsia="宋体" w:hAnsi="宋体" w:hint="eastAsia"/>
          <w:sz w:val="24"/>
          <w:szCs w:val="24"/>
          <w:vertAlign w:val="subscript"/>
        </w:rPr>
        <w:t>2</w:t>
      </w:r>
      <w:r w:rsidR="000F0BE6">
        <w:rPr>
          <w:rFonts w:ascii="宋体" w:eastAsia="宋体" w:hAnsi="宋体" w:hint="eastAsia"/>
          <w:sz w:val="24"/>
          <w:szCs w:val="24"/>
        </w:rPr>
        <w:t>/t</w:t>
      </w:r>
      <w:r w:rsidR="00F72D23">
        <w:rPr>
          <w:rFonts w:ascii="宋体" w:eastAsia="宋体" w:hAnsi="宋体" w:hint="eastAsia"/>
          <w:sz w:val="24"/>
          <w:szCs w:val="24"/>
        </w:rPr>
        <w:t>）</w:t>
      </w:r>
      <w:r>
        <w:rPr>
          <w:rFonts w:ascii="宋体" w:eastAsia="宋体" w:hAnsi="宋体" w:hint="eastAsia"/>
          <w:sz w:val="24"/>
          <w:szCs w:val="24"/>
        </w:rPr>
        <w:t>。</w:t>
      </w:r>
    </w:p>
    <w:p w14:paraId="666FCC62" w14:textId="75F089B1" w:rsidR="003C049E" w:rsidRDefault="003C049E" w:rsidP="00FD74E9">
      <w:pPr>
        <w:ind w:leftChars="-135" w:left="-283"/>
        <w:rPr>
          <w:rFonts w:ascii="宋体" w:eastAsia="宋体" w:hAnsi="宋体"/>
          <w:sz w:val="24"/>
          <w:szCs w:val="24"/>
        </w:rPr>
      </w:pPr>
      <w:r w:rsidRPr="00AB40CE">
        <w:rPr>
          <w:noProof/>
          <w:sz w:val="18"/>
          <w:szCs w:val="20"/>
          <w14:ligatures w14:val="none"/>
        </w:rPr>
        <w:lastRenderedPageBreak/>
        <w:drawing>
          <wp:inline distT="0" distB="0" distL="0" distR="0" wp14:anchorId="27DF44E9" wp14:editId="3D1E8BCC">
            <wp:extent cx="5626735" cy="3355144"/>
            <wp:effectExtent l="0" t="0" r="12065" b="17145"/>
            <wp:docPr id="3" name="图表 3">
              <a:extLst xmlns:a="http://schemas.openxmlformats.org/drawingml/2006/main">
                <a:ext uri="{FF2B5EF4-FFF2-40B4-BE49-F238E27FC236}">
                  <a16:creationId xmlns:a16="http://schemas.microsoft.com/office/drawing/2014/main" id="{F1C21ABF-D381-BE9E-A672-57FF9D1D1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3D5CD1"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四、温室气体短中期减排路径</w:t>
      </w:r>
    </w:p>
    <w:p w14:paraId="6163E281"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1、能源低碳应用：</w:t>
      </w:r>
    </w:p>
    <w:p w14:paraId="14038440" w14:textId="77777777" w:rsidR="00B8389F" w:rsidRDefault="001C4864">
      <w:pPr>
        <w:numPr>
          <w:ilvl w:val="0"/>
          <w:numId w:val="1"/>
        </w:numPr>
        <w:ind w:firstLineChars="200" w:firstLine="480"/>
        <w:rPr>
          <w:rFonts w:ascii="宋体" w:eastAsia="宋体" w:hAnsi="宋体"/>
          <w:sz w:val="24"/>
          <w:szCs w:val="24"/>
        </w:rPr>
      </w:pPr>
      <w:r>
        <w:rPr>
          <w:rFonts w:ascii="宋体" w:eastAsia="宋体" w:hAnsi="宋体" w:hint="eastAsia"/>
          <w:sz w:val="24"/>
          <w:szCs w:val="24"/>
        </w:rPr>
        <w:t>结合客户</w:t>
      </w:r>
      <w:proofErr w:type="gramStart"/>
      <w:r>
        <w:rPr>
          <w:rFonts w:ascii="宋体" w:eastAsia="宋体" w:hAnsi="宋体" w:hint="eastAsia"/>
          <w:sz w:val="24"/>
          <w:szCs w:val="24"/>
        </w:rPr>
        <w:t>减碳目标</w:t>
      </w:r>
      <w:proofErr w:type="gramEnd"/>
      <w:r>
        <w:rPr>
          <w:rFonts w:ascii="宋体" w:eastAsia="宋体" w:hAnsi="宋体" w:hint="eastAsia"/>
          <w:sz w:val="24"/>
          <w:szCs w:val="24"/>
        </w:rPr>
        <w:t>及要求，测算生产过程中的电力需求并通过采购绿色电力的方式进行火电置换;</w:t>
      </w:r>
    </w:p>
    <w:p w14:paraId="015F8089" w14:textId="77777777" w:rsidR="00B8389F" w:rsidRDefault="001C4864">
      <w:pPr>
        <w:widowControl/>
        <w:numPr>
          <w:ilvl w:val="0"/>
          <w:numId w:val="1"/>
        </w:numPr>
        <w:ind w:firstLineChars="200" w:firstLine="480"/>
        <w:jc w:val="left"/>
        <w:rPr>
          <w:rFonts w:ascii="宋体" w:eastAsia="宋体" w:hAnsi="宋体"/>
          <w:sz w:val="24"/>
          <w:szCs w:val="24"/>
        </w:rPr>
      </w:pPr>
      <w:r>
        <w:rPr>
          <w:rFonts w:ascii="宋体" w:eastAsia="宋体" w:hAnsi="宋体" w:hint="eastAsia"/>
          <w:sz w:val="24"/>
          <w:szCs w:val="24"/>
        </w:rPr>
        <w:t>在厂区屋顶建立分布式光伏发电项目，公司总的光伏装机容量规划已达到8.3MWp，在规划建设中的光</w:t>
      </w:r>
      <w:proofErr w:type="gramStart"/>
      <w:r>
        <w:rPr>
          <w:rFonts w:ascii="宋体" w:eastAsia="宋体" w:hAnsi="宋体" w:hint="eastAsia"/>
          <w:sz w:val="24"/>
          <w:szCs w:val="24"/>
        </w:rPr>
        <w:t>伏项目</w:t>
      </w:r>
      <w:proofErr w:type="gramEnd"/>
      <w:r>
        <w:rPr>
          <w:rFonts w:ascii="宋体" w:eastAsia="宋体" w:hAnsi="宋体" w:hint="eastAsia"/>
          <w:sz w:val="24"/>
          <w:szCs w:val="24"/>
        </w:rPr>
        <w:t>装机容量将超5.11MWp。</w:t>
      </w:r>
    </w:p>
    <w:p w14:paraId="7940EF60" w14:textId="77777777" w:rsidR="00B8389F" w:rsidRDefault="001C4864">
      <w:pPr>
        <w:widowControl/>
        <w:numPr>
          <w:ilvl w:val="0"/>
          <w:numId w:val="1"/>
        </w:numPr>
        <w:ind w:firstLineChars="200" w:firstLine="480"/>
        <w:jc w:val="left"/>
        <w:rPr>
          <w:rFonts w:ascii="宋体" w:eastAsia="宋体" w:hAnsi="宋体"/>
          <w:sz w:val="24"/>
          <w:szCs w:val="24"/>
        </w:rPr>
      </w:pPr>
      <w:r>
        <w:rPr>
          <w:rFonts w:ascii="宋体" w:eastAsia="宋体" w:hAnsi="宋体" w:hint="eastAsia"/>
          <w:sz w:val="24"/>
          <w:szCs w:val="24"/>
        </w:rPr>
        <w:t>积极推进能源管理体系认证，开发节能技改项目，减少能源消耗，进而降低碳排放。</w:t>
      </w:r>
    </w:p>
    <w:p w14:paraId="05A1576B" w14:textId="77777777" w:rsidR="00B8389F" w:rsidRDefault="001C4864">
      <w:pPr>
        <w:numPr>
          <w:ilvl w:val="0"/>
          <w:numId w:val="2"/>
        </w:numPr>
        <w:ind w:firstLineChars="200" w:firstLine="480"/>
        <w:rPr>
          <w:rFonts w:ascii="宋体" w:eastAsia="宋体" w:hAnsi="宋体"/>
          <w:sz w:val="24"/>
          <w:szCs w:val="24"/>
        </w:rPr>
      </w:pPr>
      <w:r>
        <w:rPr>
          <w:rFonts w:ascii="宋体" w:eastAsia="宋体" w:hAnsi="宋体" w:hint="eastAsia"/>
          <w:sz w:val="24"/>
          <w:szCs w:val="24"/>
        </w:rPr>
        <w:t>原材料低碳应用：</w:t>
      </w:r>
    </w:p>
    <w:p w14:paraId="404BC879" w14:textId="77777777" w:rsidR="00B8389F" w:rsidRDefault="001C4864">
      <w:pPr>
        <w:numPr>
          <w:ilvl w:val="0"/>
          <w:numId w:val="3"/>
        </w:numPr>
        <w:ind w:firstLineChars="200" w:firstLine="480"/>
        <w:rPr>
          <w:rFonts w:ascii="宋体" w:eastAsia="宋体" w:hAnsi="宋体"/>
          <w:sz w:val="24"/>
          <w:szCs w:val="24"/>
        </w:rPr>
      </w:pPr>
      <w:proofErr w:type="gramStart"/>
      <w:r>
        <w:rPr>
          <w:rFonts w:ascii="宋体" w:eastAsia="宋体" w:hAnsi="宋体" w:hint="eastAsia"/>
          <w:sz w:val="24"/>
          <w:szCs w:val="24"/>
        </w:rPr>
        <w:t>通过绿电铝</w:t>
      </w:r>
      <w:proofErr w:type="gramEnd"/>
      <w:r>
        <w:rPr>
          <w:rFonts w:ascii="宋体" w:eastAsia="宋体" w:hAnsi="宋体" w:hint="eastAsia"/>
          <w:sz w:val="24"/>
          <w:szCs w:val="24"/>
        </w:rPr>
        <w:t>、再生铝的应用，减少原材料的碳排放。</w:t>
      </w:r>
    </w:p>
    <w:p w14:paraId="68151907" w14:textId="77777777" w:rsidR="00B8389F" w:rsidRDefault="001C4864">
      <w:pPr>
        <w:numPr>
          <w:ilvl w:val="0"/>
          <w:numId w:val="3"/>
        </w:numPr>
        <w:ind w:firstLineChars="200" w:firstLine="480"/>
        <w:rPr>
          <w:rFonts w:ascii="宋体" w:eastAsia="宋体" w:hAnsi="宋体"/>
          <w:sz w:val="24"/>
          <w:szCs w:val="24"/>
        </w:rPr>
      </w:pPr>
      <w:r>
        <w:rPr>
          <w:rFonts w:ascii="宋体" w:eastAsia="宋体" w:hAnsi="宋体" w:hint="eastAsia"/>
          <w:sz w:val="24"/>
          <w:szCs w:val="24"/>
        </w:rPr>
        <w:t>积极探索</w:t>
      </w:r>
      <w:proofErr w:type="gramStart"/>
      <w:r>
        <w:rPr>
          <w:rFonts w:ascii="宋体" w:eastAsia="宋体" w:hAnsi="宋体" w:hint="eastAsia"/>
          <w:sz w:val="24"/>
          <w:szCs w:val="24"/>
        </w:rPr>
        <w:t>绿电铝供应</w:t>
      </w:r>
      <w:proofErr w:type="gramEnd"/>
      <w:r>
        <w:rPr>
          <w:rFonts w:ascii="宋体" w:eastAsia="宋体" w:hAnsi="宋体" w:hint="eastAsia"/>
          <w:sz w:val="24"/>
          <w:szCs w:val="24"/>
        </w:rPr>
        <w:t>商，力争增加各个</w:t>
      </w:r>
      <w:proofErr w:type="gramStart"/>
      <w:r>
        <w:rPr>
          <w:rFonts w:ascii="宋体" w:eastAsia="宋体" w:hAnsi="宋体" w:hint="eastAsia"/>
          <w:sz w:val="24"/>
          <w:szCs w:val="24"/>
        </w:rPr>
        <w:t>产线的绿电铝使用</w:t>
      </w:r>
      <w:proofErr w:type="gramEnd"/>
      <w:r>
        <w:rPr>
          <w:rFonts w:ascii="宋体" w:eastAsia="宋体" w:hAnsi="宋体" w:hint="eastAsia"/>
          <w:sz w:val="24"/>
          <w:szCs w:val="24"/>
        </w:rPr>
        <w:t>比例。</w:t>
      </w:r>
    </w:p>
    <w:p w14:paraId="650E8D68" w14:textId="77777777" w:rsidR="00B8389F" w:rsidRDefault="001C4864">
      <w:pPr>
        <w:ind w:firstLineChars="200" w:firstLine="480"/>
        <w:jc w:val="left"/>
        <w:rPr>
          <w:rFonts w:ascii="宋体" w:eastAsia="宋体" w:hAnsi="宋体"/>
          <w:sz w:val="24"/>
          <w:szCs w:val="24"/>
        </w:rPr>
      </w:pPr>
      <w:r>
        <w:rPr>
          <w:rFonts w:ascii="宋体" w:eastAsia="宋体" w:hAnsi="宋体" w:hint="eastAsia"/>
          <w:sz w:val="24"/>
          <w:szCs w:val="24"/>
        </w:rPr>
        <w:t>3、工艺改造、节能提效：</w:t>
      </w:r>
    </w:p>
    <w:p w14:paraId="432BC533" w14:textId="77777777" w:rsidR="00B8389F" w:rsidRDefault="001C4864">
      <w:pPr>
        <w:numPr>
          <w:ilvl w:val="0"/>
          <w:numId w:val="4"/>
        </w:numPr>
        <w:ind w:firstLineChars="200" w:firstLine="480"/>
        <w:jc w:val="left"/>
        <w:rPr>
          <w:rFonts w:ascii="宋体" w:eastAsia="宋体" w:hAnsi="宋体"/>
          <w:sz w:val="24"/>
          <w:szCs w:val="24"/>
        </w:rPr>
      </w:pPr>
      <w:r>
        <w:rPr>
          <w:rFonts w:ascii="宋体" w:eastAsia="宋体" w:hAnsi="宋体" w:hint="eastAsia"/>
          <w:sz w:val="24"/>
          <w:szCs w:val="24"/>
        </w:rPr>
        <w:t>公司采用新型余热回收利用技术，打破了原有技术应用范围有限的弊端，以梯级回收、循环利用、全部消纳用尽为原则，已在</w:t>
      </w:r>
      <w:proofErr w:type="gramStart"/>
      <w:r>
        <w:rPr>
          <w:rFonts w:ascii="宋体" w:eastAsia="宋体" w:hAnsi="宋体" w:hint="eastAsia"/>
          <w:sz w:val="24"/>
          <w:szCs w:val="24"/>
        </w:rPr>
        <w:t>部分产线进行</w:t>
      </w:r>
      <w:proofErr w:type="gramEnd"/>
      <w:r>
        <w:rPr>
          <w:rFonts w:ascii="宋体" w:eastAsia="宋体" w:hAnsi="宋体" w:hint="eastAsia"/>
          <w:sz w:val="24"/>
          <w:szCs w:val="24"/>
        </w:rPr>
        <w:t>了推广应用，实现了70%以上的余热综合回收利用率。</w:t>
      </w:r>
    </w:p>
    <w:p w14:paraId="68B03D4A" w14:textId="77777777" w:rsidR="00B8389F" w:rsidRDefault="001C4864">
      <w:pPr>
        <w:numPr>
          <w:ilvl w:val="0"/>
          <w:numId w:val="4"/>
        </w:numPr>
        <w:ind w:firstLineChars="200" w:firstLine="480"/>
        <w:jc w:val="left"/>
        <w:rPr>
          <w:rFonts w:ascii="宋体" w:eastAsia="宋体" w:hAnsi="宋体"/>
          <w:sz w:val="24"/>
          <w:szCs w:val="24"/>
        </w:rPr>
      </w:pPr>
      <w:r>
        <w:rPr>
          <w:rFonts w:ascii="宋体" w:eastAsia="宋体" w:hAnsi="宋体" w:hint="eastAsia"/>
          <w:sz w:val="24"/>
          <w:szCs w:val="24"/>
        </w:rPr>
        <w:t>对现有生产线进行节能改造，持续关注重点设备能耗情况，计划对原有设备进行改造升级，以提高能源利用效率。</w:t>
      </w:r>
    </w:p>
    <w:p w14:paraId="15966EE6" w14:textId="77777777" w:rsidR="00B8389F" w:rsidRDefault="001C4864">
      <w:pPr>
        <w:numPr>
          <w:ilvl w:val="0"/>
          <w:numId w:val="4"/>
        </w:numPr>
        <w:ind w:firstLineChars="200" w:firstLine="480"/>
        <w:jc w:val="left"/>
        <w:rPr>
          <w:rFonts w:ascii="宋体" w:eastAsia="宋体" w:hAnsi="宋体"/>
          <w:sz w:val="24"/>
          <w:szCs w:val="24"/>
        </w:rPr>
      </w:pPr>
      <w:r>
        <w:rPr>
          <w:rFonts w:ascii="宋体" w:eastAsia="宋体" w:hAnsi="宋体" w:hint="eastAsia"/>
          <w:sz w:val="24"/>
          <w:szCs w:val="24"/>
        </w:rPr>
        <w:t>积极推动生产工艺优化，降低能耗和排放。</w:t>
      </w:r>
    </w:p>
    <w:p w14:paraId="54883F16" w14:textId="77777777" w:rsidR="00B8389F" w:rsidRDefault="001C4864">
      <w:pPr>
        <w:numPr>
          <w:ilvl w:val="0"/>
          <w:numId w:val="5"/>
        </w:numPr>
        <w:ind w:firstLineChars="200" w:firstLine="480"/>
        <w:rPr>
          <w:rFonts w:ascii="宋体" w:eastAsia="宋体" w:hAnsi="宋体"/>
          <w:sz w:val="24"/>
          <w:szCs w:val="24"/>
        </w:rPr>
      </w:pPr>
      <w:r>
        <w:rPr>
          <w:rFonts w:ascii="宋体" w:eastAsia="宋体" w:hAnsi="宋体" w:hint="eastAsia"/>
          <w:sz w:val="24"/>
          <w:szCs w:val="24"/>
        </w:rPr>
        <w:t>温室气体短中期减排实施计划</w:t>
      </w:r>
    </w:p>
    <w:p w14:paraId="57400630"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1、中信戴卡股份有限公司：</w:t>
      </w:r>
    </w:p>
    <w:p w14:paraId="5A25E685"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实施分布式光伏发电项目装机容量为5.11MWp，年发电量约为650万</w:t>
      </w:r>
      <w:proofErr w:type="spellStart"/>
      <w:r>
        <w:rPr>
          <w:rFonts w:ascii="宋体" w:eastAsia="宋体" w:hAnsi="宋体" w:hint="eastAsia"/>
          <w:sz w:val="24"/>
          <w:szCs w:val="24"/>
        </w:rPr>
        <w:t>KWh</w:t>
      </w:r>
      <w:proofErr w:type="spellEnd"/>
      <w:r>
        <w:rPr>
          <w:rFonts w:ascii="宋体" w:eastAsia="宋体" w:hAnsi="宋体" w:hint="eastAsia"/>
          <w:sz w:val="24"/>
          <w:szCs w:val="24"/>
        </w:rPr>
        <w:t>，结合</w:t>
      </w:r>
      <w:proofErr w:type="gramStart"/>
      <w:r>
        <w:rPr>
          <w:rFonts w:ascii="宋体" w:eastAsia="宋体" w:hAnsi="宋体" w:hint="eastAsia"/>
          <w:sz w:val="24"/>
          <w:szCs w:val="24"/>
        </w:rPr>
        <w:t>绿电交易</w:t>
      </w:r>
      <w:proofErr w:type="gramEnd"/>
      <w:r>
        <w:rPr>
          <w:rFonts w:ascii="宋体" w:eastAsia="宋体" w:hAnsi="宋体" w:hint="eastAsia"/>
          <w:sz w:val="24"/>
          <w:szCs w:val="24"/>
        </w:rPr>
        <w:t>，力争使绿色电力占比超过45%。</w:t>
      </w:r>
    </w:p>
    <w:p w14:paraId="7DD04E6E"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2、戴卡凯斯曼成都汽车零部件有限公司：</w:t>
      </w:r>
    </w:p>
    <w:p w14:paraId="2F53436E"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计划实施分布式光伏发电项目，装机容量2MWp，结合参加绿色电力交易，力争使绿色电力占比超过50%。</w:t>
      </w:r>
    </w:p>
    <w:p w14:paraId="41059EE2"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3、</w:t>
      </w:r>
      <w:proofErr w:type="gramStart"/>
      <w:r>
        <w:rPr>
          <w:rFonts w:ascii="宋体" w:eastAsia="宋体" w:hAnsi="宋体" w:hint="eastAsia"/>
          <w:sz w:val="24"/>
          <w:szCs w:val="24"/>
        </w:rPr>
        <w:t>凯</w:t>
      </w:r>
      <w:proofErr w:type="gramEnd"/>
      <w:r>
        <w:rPr>
          <w:rFonts w:ascii="宋体" w:eastAsia="宋体" w:hAnsi="宋体" w:hint="eastAsia"/>
          <w:sz w:val="24"/>
          <w:szCs w:val="24"/>
        </w:rPr>
        <w:t>斯</w:t>
      </w:r>
      <w:proofErr w:type="gramStart"/>
      <w:r>
        <w:rPr>
          <w:rFonts w:ascii="宋体" w:eastAsia="宋体" w:hAnsi="宋体" w:hint="eastAsia"/>
          <w:sz w:val="24"/>
          <w:szCs w:val="24"/>
        </w:rPr>
        <w:t>曼</w:t>
      </w:r>
      <w:proofErr w:type="gramEnd"/>
      <w:r>
        <w:rPr>
          <w:rFonts w:ascii="宋体" w:eastAsia="宋体" w:hAnsi="宋体" w:hint="eastAsia"/>
          <w:sz w:val="24"/>
          <w:szCs w:val="24"/>
        </w:rPr>
        <w:t>秦皇岛汽车零部件制造有限公司：</w:t>
      </w:r>
    </w:p>
    <w:p w14:paraId="2FDEB5B7"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lastRenderedPageBreak/>
        <w:t>积极参加绿色电力交易，力争使绿色电力占比超过45%；积极探索绿色电解铝，再生铝等低碳原材料的应用。</w:t>
      </w:r>
    </w:p>
    <w:p w14:paraId="2FDEB356"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4、</w:t>
      </w:r>
      <w:proofErr w:type="gramStart"/>
      <w:r>
        <w:rPr>
          <w:rFonts w:ascii="宋体" w:eastAsia="宋体" w:hAnsi="宋体" w:hint="eastAsia"/>
          <w:sz w:val="24"/>
          <w:szCs w:val="24"/>
        </w:rPr>
        <w:t>凯世曼</w:t>
      </w:r>
      <w:proofErr w:type="gramEnd"/>
      <w:r>
        <w:rPr>
          <w:rFonts w:ascii="宋体" w:eastAsia="宋体" w:hAnsi="宋体" w:hint="eastAsia"/>
          <w:sz w:val="24"/>
          <w:szCs w:val="24"/>
        </w:rPr>
        <w:t>铸造长春有限公司:</w:t>
      </w:r>
    </w:p>
    <w:p w14:paraId="28E11B00"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通过空压机余热回收为浴室供应热水，年节约34.2万度电，降低碳排放269tCO2；采用永磁电机替代传统的工频/变频水泵，年节约41.5万度电，预计降低碳排放327tCO2；增加绿色电力采购量，预计采购300万度电，降低碳排放2367tCO2。</w:t>
      </w:r>
    </w:p>
    <w:p w14:paraId="613C9F23"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其他</w:t>
      </w:r>
    </w:p>
    <w:p w14:paraId="6DB1FE2B"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①加强各企业的生产过程中的节能减排管理，建立完善的能源管理体系，淘汰高能耗设备、提高能源使用效率，降低产品生产过程中的能源消耗导致的 GHG排放量。</w:t>
      </w:r>
    </w:p>
    <w:p w14:paraId="6070AC82"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②各公司加强供应商的选择，尽量选择单位产品能耗较低、节能绩效良好的供应商，降低产品原料在生产过程的GHG 排放量，并推动供应商一起应对气候变化。</w:t>
      </w:r>
    </w:p>
    <w:p w14:paraId="5D96DEDA" w14:textId="77777777" w:rsidR="00B8389F" w:rsidRDefault="001C4864">
      <w:pPr>
        <w:ind w:firstLineChars="200" w:firstLine="480"/>
        <w:rPr>
          <w:rFonts w:ascii="宋体" w:eastAsia="宋体" w:hAnsi="宋体"/>
          <w:sz w:val="24"/>
          <w:szCs w:val="24"/>
        </w:rPr>
      </w:pPr>
      <w:r>
        <w:rPr>
          <w:rFonts w:ascii="宋体" w:eastAsia="宋体" w:hAnsi="宋体" w:hint="eastAsia"/>
          <w:sz w:val="24"/>
          <w:szCs w:val="24"/>
        </w:rPr>
        <w:t>六、数据说明</w:t>
      </w:r>
    </w:p>
    <w:p w14:paraId="7FF0330C" w14:textId="33BC8C9F" w:rsidR="00B8389F" w:rsidRDefault="001C4864">
      <w:pPr>
        <w:ind w:firstLineChars="200" w:firstLine="480"/>
        <w:rPr>
          <w:rFonts w:ascii="宋体" w:eastAsia="宋体" w:hAnsi="宋体"/>
          <w:sz w:val="24"/>
          <w:szCs w:val="24"/>
        </w:rPr>
      </w:pPr>
      <w:r>
        <w:rPr>
          <w:rFonts w:ascii="宋体" w:eastAsia="宋体" w:hAnsi="宋体" w:hint="eastAsia"/>
          <w:sz w:val="24"/>
          <w:szCs w:val="24"/>
        </w:rPr>
        <w:t>1、本公司委托的第三方核查机构杭州万泰认证有限公司进行了</w:t>
      </w:r>
      <w:r w:rsidR="00AB2BC6">
        <w:rPr>
          <w:rFonts w:ascii="宋体" w:eastAsia="宋体" w:hAnsi="宋体"/>
          <w:sz w:val="24"/>
          <w:szCs w:val="24"/>
        </w:rPr>
        <w:t>LCA</w:t>
      </w:r>
      <w:r w:rsidR="00AB2BC6">
        <w:rPr>
          <w:rFonts w:ascii="宋体" w:eastAsia="宋体" w:hAnsi="宋体" w:hint="eastAsia"/>
          <w:sz w:val="24"/>
          <w:szCs w:val="24"/>
        </w:rPr>
        <w:t>三方评价，</w:t>
      </w:r>
      <w:r>
        <w:rPr>
          <w:rFonts w:ascii="宋体" w:eastAsia="宋体" w:hAnsi="宋体" w:hint="eastAsia"/>
          <w:sz w:val="24"/>
          <w:szCs w:val="24"/>
        </w:rPr>
        <w:t>ISO 14064组织碳核查，以上碳排放数据均出自核查声明。</w:t>
      </w:r>
    </w:p>
    <w:p w14:paraId="6362D2C4" w14:textId="77777777" w:rsidR="00B8389F" w:rsidRDefault="00B8389F">
      <w:pPr>
        <w:rPr>
          <w:rFonts w:ascii="宋体" w:eastAsia="宋体" w:hAnsi="宋体"/>
          <w:sz w:val="24"/>
          <w:szCs w:val="24"/>
        </w:rPr>
      </w:pPr>
    </w:p>
    <w:p w14:paraId="5C3F488B" w14:textId="77777777" w:rsidR="00B8389F" w:rsidRDefault="00B8389F">
      <w:pPr>
        <w:rPr>
          <w:rFonts w:ascii="宋体" w:eastAsia="宋体" w:hAnsi="宋体"/>
          <w:color w:val="FF0000"/>
          <w:sz w:val="24"/>
          <w:szCs w:val="24"/>
        </w:rPr>
      </w:pPr>
    </w:p>
    <w:p w14:paraId="59F4BB2B" w14:textId="77777777" w:rsidR="00B8389F" w:rsidRDefault="00B8389F">
      <w:pPr>
        <w:rPr>
          <w:rFonts w:ascii="宋体" w:eastAsia="宋体" w:hAnsi="宋体"/>
          <w:color w:val="FF0000"/>
          <w:sz w:val="24"/>
          <w:szCs w:val="24"/>
        </w:rPr>
      </w:pPr>
    </w:p>
    <w:p w14:paraId="235308B6" w14:textId="77777777" w:rsidR="00B8389F" w:rsidRDefault="00B8389F">
      <w:pPr>
        <w:rPr>
          <w:rFonts w:ascii="宋体" w:eastAsia="宋体" w:hAnsi="宋体"/>
          <w:color w:val="FF0000"/>
          <w:sz w:val="24"/>
          <w:szCs w:val="24"/>
        </w:rPr>
      </w:pPr>
    </w:p>
    <w:p w14:paraId="6D755F50" w14:textId="77777777" w:rsidR="00B8389F" w:rsidRDefault="00B8389F">
      <w:pPr>
        <w:rPr>
          <w:rFonts w:ascii="宋体" w:eastAsia="宋体" w:hAnsi="宋体"/>
          <w:color w:val="FF0000"/>
          <w:sz w:val="24"/>
          <w:szCs w:val="24"/>
        </w:rPr>
      </w:pPr>
    </w:p>
    <w:p w14:paraId="20099937" w14:textId="77777777" w:rsidR="00B8389F" w:rsidRDefault="00B8389F">
      <w:pPr>
        <w:rPr>
          <w:rFonts w:ascii="宋体" w:eastAsia="宋体" w:hAnsi="宋体"/>
          <w:color w:val="FF0000"/>
          <w:sz w:val="24"/>
          <w:szCs w:val="24"/>
        </w:rPr>
      </w:pPr>
    </w:p>
    <w:p w14:paraId="726E2321" w14:textId="77777777" w:rsidR="00B8389F" w:rsidRDefault="00B8389F">
      <w:pPr>
        <w:rPr>
          <w:rFonts w:ascii="宋体" w:eastAsia="宋体" w:hAnsi="宋体"/>
          <w:color w:val="FF0000"/>
          <w:sz w:val="24"/>
          <w:szCs w:val="24"/>
        </w:rPr>
      </w:pPr>
    </w:p>
    <w:p w14:paraId="5EAD7BCB" w14:textId="77777777" w:rsidR="00B8389F" w:rsidRDefault="00B8389F">
      <w:pPr>
        <w:rPr>
          <w:rFonts w:ascii="宋体" w:eastAsia="宋体" w:hAnsi="宋体"/>
          <w:color w:val="FF0000"/>
          <w:sz w:val="24"/>
          <w:szCs w:val="24"/>
        </w:rPr>
      </w:pPr>
    </w:p>
    <w:p w14:paraId="02CED3A4" w14:textId="77777777" w:rsidR="00B8389F" w:rsidRDefault="001C4864">
      <w:pPr>
        <w:jc w:val="right"/>
        <w:rPr>
          <w:rFonts w:ascii="宋体" w:eastAsia="宋体" w:hAnsi="宋体"/>
          <w:sz w:val="24"/>
          <w:szCs w:val="24"/>
        </w:rPr>
      </w:pPr>
      <w:r>
        <w:rPr>
          <w:rFonts w:ascii="宋体" w:eastAsia="宋体" w:hAnsi="宋体" w:hint="eastAsia"/>
          <w:sz w:val="24"/>
          <w:szCs w:val="24"/>
        </w:rPr>
        <w:t>中信戴卡股份有限公司</w:t>
      </w:r>
    </w:p>
    <w:p w14:paraId="236A7010" w14:textId="77777777" w:rsidR="00B8389F" w:rsidRDefault="001C4864">
      <w:pPr>
        <w:jc w:val="right"/>
        <w:rPr>
          <w:rFonts w:ascii="宋体" w:eastAsia="宋体" w:hAnsi="宋体"/>
          <w:sz w:val="24"/>
          <w:szCs w:val="24"/>
        </w:rPr>
      </w:pPr>
      <w:r>
        <w:rPr>
          <w:rFonts w:ascii="宋体" w:eastAsia="宋体" w:hAnsi="宋体" w:hint="eastAsia"/>
          <w:sz w:val="24"/>
          <w:szCs w:val="24"/>
        </w:rPr>
        <w:t>2024年  8 月  15  日</w:t>
      </w:r>
    </w:p>
    <w:sectPr w:rsidR="00B838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9EFF" w14:textId="77777777" w:rsidR="00354179" w:rsidRDefault="00354179" w:rsidP="00E3332E">
      <w:r>
        <w:separator/>
      </w:r>
    </w:p>
  </w:endnote>
  <w:endnote w:type="continuationSeparator" w:id="0">
    <w:p w14:paraId="722731FC" w14:textId="77777777" w:rsidR="00354179" w:rsidRDefault="00354179" w:rsidP="00E3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5003" w14:textId="77777777" w:rsidR="00354179" w:rsidRDefault="00354179" w:rsidP="00E3332E">
      <w:r>
        <w:separator/>
      </w:r>
    </w:p>
  </w:footnote>
  <w:footnote w:type="continuationSeparator" w:id="0">
    <w:p w14:paraId="2016B969" w14:textId="77777777" w:rsidR="00354179" w:rsidRDefault="00354179" w:rsidP="00E33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FB265E"/>
    <w:multiLevelType w:val="singleLevel"/>
    <w:tmpl w:val="B0FB265E"/>
    <w:lvl w:ilvl="0">
      <w:start w:val="1"/>
      <w:numFmt w:val="decimalEnclosedCircleChinese"/>
      <w:suff w:val="nothing"/>
      <w:lvlText w:val="%1　"/>
      <w:lvlJc w:val="left"/>
      <w:pPr>
        <w:ind w:left="0" w:firstLine="400"/>
      </w:pPr>
      <w:rPr>
        <w:rFonts w:hint="eastAsia"/>
      </w:rPr>
    </w:lvl>
  </w:abstractNum>
  <w:abstractNum w:abstractNumId="1" w15:restartNumberingAfterBreak="0">
    <w:nsid w:val="B89B595E"/>
    <w:multiLevelType w:val="singleLevel"/>
    <w:tmpl w:val="B89B595E"/>
    <w:lvl w:ilvl="0">
      <w:start w:val="2"/>
      <w:numFmt w:val="decimal"/>
      <w:suff w:val="nothing"/>
      <w:lvlText w:val="%1、"/>
      <w:lvlJc w:val="left"/>
    </w:lvl>
  </w:abstractNum>
  <w:abstractNum w:abstractNumId="2" w15:restartNumberingAfterBreak="0">
    <w:nsid w:val="EC364BFC"/>
    <w:multiLevelType w:val="singleLevel"/>
    <w:tmpl w:val="EC364BFC"/>
    <w:lvl w:ilvl="0">
      <w:start w:val="1"/>
      <w:numFmt w:val="decimalEnclosedCircleChinese"/>
      <w:suff w:val="nothing"/>
      <w:lvlText w:val="%1　"/>
      <w:lvlJc w:val="left"/>
      <w:pPr>
        <w:ind w:left="0" w:firstLine="400"/>
      </w:pPr>
      <w:rPr>
        <w:rFonts w:hint="eastAsia"/>
      </w:rPr>
    </w:lvl>
  </w:abstractNum>
  <w:abstractNum w:abstractNumId="3" w15:restartNumberingAfterBreak="0">
    <w:nsid w:val="FAD08724"/>
    <w:multiLevelType w:val="singleLevel"/>
    <w:tmpl w:val="FAD08724"/>
    <w:lvl w:ilvl="0">
      <w:start w:val="1"/>
      <w:numFmt w:val="decimalEnclosedCircleChinese"/>
      <w:suff w:val="nothing"/>
      <w:lvlText w:val="%1　"/>
      <w:lvlJc w:val="left"/>
      <w:pPr>
        <w:ind w:left="0" w:firstLine="400"/>
      </w:pPr>
      <w:rPr>
        <w:rFonts w:hint="eastAsia"/>
      </w:rPr>
    </w:lvl>
  </w:abstractNum>
  <w:abstractNum w:abstractNumId="4" w15:restartNumberingAfterBreak="0">
    <w:nsid w:val="7D87FA09"/>
    <w:multiLevelType w:val="singleLevel"/>
    <w:tmpl w:val="7D87FA09"/>
    <w:lvl w:ilvl="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1YzA3MmUxOGZhM2IxM2NiYjcyZGExOGM2NDkzM2UifQ=="/>
  </w:docVars>
  <w:rsids>
    <w:rsidRoot w:val="003419C2"/>
    <w:rsid w:val="000F0BE6"/>
    <w:rsid w:val="001117BC"/>
    <w:rsid w:val="001C4864"/>
    <w:rsid w:val="00210851"/>
    <w:rsid w:val="0023163E"/>
    <w:rsid w:val="002A680B"/>
    <w:rsid w:val="003419C2"/>
    <w:rsid w:val="00354179"/>
    <w:rsid w:val="003C049E"/>
    <w:rsid w:val="00420E4D"/>
    <w:rsid w:val="004875A7"/>
    <w:rsid w:val="004C4664"/>
    <w:rsid w:val="00555B11"/>
    <w:rsid w:val="005576BD"/>
    <w:rsid w:val="005F24F2"/>
    <w:rsid w:val="0064237D"/>
    <w:rsid w:val="0065598E"/>
    <w:rsid w:val="0067013F"/>
    <w:rsid w:val="006B1061"/>
    <w:rsid w:val="007878F5"/>
    <w:rsid w:val="00792155"/>
    <w:rsid w:val="007E3403"/>
    <w:rsid w:val="007E3FEF"/>
    <w:rsid w:val="00895480"/>
    <w:rsid w:val="0093165D"/>
    <w:rsid w:val="00982E94"/>
    <w:rsid w:val="0099788C"/>
    <w:rsid w:val="009C71EA"/>
    <w:rsid w:val="00A46CFF"/>
    <w:rsid w:val="00AB2193"/>
    <w:rsid w:val="00AB2BC6"/>
    <w:rsid w:val="00AB40CE"/>
    <w:rsid w:val="00B566A1"/>
    <w:rsid w:val="00B80D0F"/>
    <w:rsid w:val="00B8389F"/>
    <w:rsid w:val="00BC1E6A"/>
    <w:rsid w:val="00C1210C"/>
    <w:rsid w:val="00C77791"/>
    <w:rsid w:val="00CE2055"/>
    <w:rsid w:val="00D26ABA"/>
    <w:rsid w:val="00D44DA8"/>
    <w:rsid w:val="00DD7E43"/>
    <w:rsid w:val="00E3332E"/>
    <w:rsid w:val="00F036A8"/>
    <w:rsid w:val="00F72D23"/>
    <w:rsid w:val="00F74105"/>
    <w:rsid w:val="00F827D2"/>
    <w:rsid w:val="00FD74E9"/>
    <w:rsid w:val="1044690B"/>
    <w:rsid w:val="13F16E56"/>
    <w:rsid w:val="14F55462"/>
    <w:rsid w:val="210226B9"/>
    <w:rsid w:val="4C852484"/>
    <w:rsid w:val="4F863785"/>
    <w:rsid w:val="6BDC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0A953"/>
  <w15:docId w15:val="{4B4E4BCC-0DFC-4000-BE1F-315769BE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9878">
      <w:bodyDiv w:val="1"/>
      <w:marLeft w:val="0"/>
      <w:marRight w:val="0"/>
      <w:marTop w:val="0"/>
      <w:marBottom w:val="0"/>
      <w:divBdr>
        <w:top w:val="none" w:sz="0" w:space="0" w:color="auto"/>
        <w:left w:val="none" w:sz="0" w:space="0" w:color="auto"/>
        <w:bottom w:val="none" w:sz="0" w:space="0" w:color="auto"/>
        <w:right w:val="none" w:sz="0" w:space="0" w:color="auto"/>
      </w:divBdr>
    </w:div>
    <w:div w:id="1767459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82462\Desktop\&#21487;&#32534;&#36753;-ARRAY_FIX_040324_UPLOAD_FINAL-CLEAN-ASI-Entity-GHG-Pathways-Calculation-Tool-20-1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GB"/>
              <a:t>Aluminium Procurement (Scope 3, Cat. 1)</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8.4291111111111108E-2"/>
          <c:y val="8.0727407407407414E-2"/>
          <c:w val="0.9077535555555557"/>
          <c:h val="0.73635092867026519"/>
        </c:manualLayout>
      </c:layout>
      <c:lineChart>
        <c:grouping val="standard"/>
        <c:varyColors val="0"/>
        <c:ser>
          <c:idx val="4"/>
          <c:order val="0"/>
          <c:tx>
            <c:v>Entity Fab Procurement Slope</c:v>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50-4CB5-9788-7717B09E11D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zh-CN"/>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'Casthouse &amp; Post-CH Data Entry'!$D$17:$AL$17</c:f>
              <c:numCache>
                <c:formatCode>0</c:formatCode>
                <c:ptCount val="3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numCache>
            </c:numRef>
          </c:cat>
          <c:val>
            <c:numRef>
              <c:f>'Casthouse &amp; Post-CH Data Entry'!$D$18:$AL$18</c:f>
              <c:numCache>
                <c:formatCode>0.0</c:formatCode>
                <c:ptCount val="35"/>
                <c:pt idx="0">
                  <c:v>17.2</c:v>
                </c:pt>
                <c:pt idx="1">
                  <c:v>17.2</c:v>
                </c:pt>
                <c:pt idx="2">
                  <c:v>17.2</c:v>
                </c:pt>
                <c:pt idx="3">
                  <c:v>16.748345584822779</c:v>
                </c:pt>
                <c:pt idx="4">
                  <c:v>15.656444695084282</c:v>
                </c:pt>
                <c:pt idx="5">
                  <c:v>15.809095108452308</c:v>
                </c:pt>
                <c:pt idx="6">
                  <c:v>15.335144549074197</c:v>
                </c:pt>
                <c:pt idx="7">
                  <c:v>14.418319928754505</c:v>
                </c:pt>
                <c:pt idx="8">
                  <c:v>13.903293867269779</c:v>
                </c:pt>
                <c:pt idx="9">
                  <c:v>13.374608726952969</c:v>
                </c:pt>
                <c:pt idx="10">
                  <c:v>12.539488673742575</c:v>
                </c:pt>
                <c:pt idx="11">
                  <c:v>12.438131059903254</c:v>
                </c:pt>
                <c:pt idx="12">
                  <c:v>11.753852894828787</c:v>
                </c:pt>
                <c:pt idx="13">
                  <c:v>11.044313339112893</c:v>
                </c:pt>
                <c:pt idx="14">
                  <c:v>10.205490733303636</c:v>
                </c:pt>
                <c:pt idx="15">
                  <c:v>8.8510976829842907</c:v>
                </c:pt>
                <c:pt idx="16">
                  <c:v>7.0239784529697165</c:v>
                </c:pt>
                <c:pt idx="17">
                  <c:v>6.4413065306941073</c:v>
                </c:pt>
                <c:pt idx="18">
                  <c:v>5.1747417904757684</c:v>
                </c:pt>
                <c:pt idx="19">
                  <c:v>3.8983372318650558</c:v>
                </c:pt>
                <c:pt idx="20">
                  <c:v>3.6408194609731579</c:v>
                </c:pt>
                <c:pt idx="21">
                  <c:v>2.863802518359353</c:v>
                </c:pt>
                <c:pt idx="22">
                  <c:v>2.469510311953409</c:v>
                </c:pt>
                <c:pt idx="23">
                  <c:v>2.0593802971854358</c:v>
                </c:pt>
                <c:pt idx="24">
                  <c:v>1.9952930387977503</c:v>
                </c:pt>
                <c:pt idx="25">
                  <c:v>1.7991981440384501</c:v>
                </c:pt>
                <c:pt idx="26">
                  <c:v>1.5128579418566783</c:v>
                </c:pt>
                <c:pt idx="27">
                  <c:v>1.2783364797555956</c:v>
                </c:pt>
                <c:pt idx="28">
                  <c:v>1.2395485216827213</c:v>
                </c:pt>
                <c:pt idx="29">
                  <c:v>1.0813666350723379</c:v>
                </c:pt>
                <c:pt idx="30">
                  <c:v>0.97618338113284664</c:v>
                </c:pt>
                <c:pt idx="31">
                  <c:v>0.897303473448406</c:v>
                </c:pt>
                <c:pt idx="32">
                  <c:v>0.60172210812985227</c:v>
                </c:pt>
                <c:pt idx="33">
                  <c:v>0.43492738029878475</c:v>
                </c:pt>
                <c:pt idx="34">
                  <c:v>0.35540196533477858</c:v>
                </c:pt>
              </c:numCache>
            </c:numRef>
          </c:val>
          <c:smooth val="0"/>
          <c:extLst>
            <c:ext xmlns:c16="http://schemas.microsoft.com/office/drawing/2014/chart" uri="{C3380CC4-5D6E-409C-BE32-E72D297353CC}">
              <c16:uniqueId val="{00000001-2D50-4CB5-9788-7717B09E11D1}"/>
            </c:ext>
          </c:extLst>
        </c:ser>
        <c:ser>
          <c:idx val="5"/>
          <c:order val="1"/>
          <c:tx>
            <c:v>Sector Fabrication Procurement</c:v>
          </c:tx>
          <c:spPr>
            <a:ln w="28575" cap="rnd">
              <a:solidFill>
                <a:schemeClr val="accent6"/>
              </a:solidFill>
              <a:prstDash val="dash"/>
              <a:round/>
            </a:ln>
            <a:effectLst/>
          </c:spPr>
          <c:marker>
            <c:symbol val="none"/>
          </c:marker>
          <c:cat>
            <c:numRef>
              <c:f>'Casthouse &amp; Post-CH Data Entry'!$D$17:$AL$17</c:f>
              <c:numCache>
                <c:formatCode>0</c:formatCode>
                <c:ptCount val="3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pt idx="15">
                  <c:v>2031</c:v>
                </c:pt>
                <c:pt idx="16">
                  <c:v>2032</c:v>
                </c:pt>
                <c:pt idx="17">
                  <c:v>2033</c:v>
                </c:pt>
                <c:pt idx="18">
                  <c:v>2034</c:v>
                </c:pt>
                <c:pt idx="19">
                  <c:v>2035</c:v>
                </c:pt>
                <c:pt idx="20">
                  <c:v>2036</c:v>
                </c:pt>
                <c:pt idx="21">
                  <c:v>2037</c:v>
                </c:pt>
                <c:pt idx="22">
                  <c:v>2038</c:v>
                </c:pt>
                <c:pt idx="23">
                  <c:v>2039</c:v>
                </c:pt>
                <c:pt idx="24">
                  <c:v>2040</c:v>
                </c:pt>
                <c:pt idx="25">
                  <c:v>2041</c:v>
                </c:pt>
                <c:pt idx="26">
                  <c:v>2042</c:v>
                </c:pt>
                <c:pt idx="27">
                  <c:v>2043</c:v>
                </c:pt>
                <c:pt idx="28">
                  <c:v>2044</c:v>
                </c:pt>
                <c:pt idx="29">
                  <c:v>2045</c:v>
                </c:pt>
                <c:pt idx="30">
                  <c:v>2046</c:v>
                </c:pt>
                <c:pt idx="31">
                  <c:v>2047</c:v>
                </c:pt>
                <c:pt idx="32">
                  <c:v>2048</c:v>
                </c:pt>
                <c:pt idx="33">
                  <c:v>2049</c:v>
                </c:pt>
                <c:pt idx="34">
                  <c:v>2050</c:v>
                </c:pt>
              </c:numCache>
            </c:numRef>
          </c:cat>
          <c:val>
            <c:numRef>
              <c:f>'Post-Semis Proc''ment Data Table'!$B$2:$AJ$2</c:f>
              <c:numCache>
                <c:formatCode>0.0</c:formatCode>
                <c:ptCount val="35"/>
                <c:pt idx="0">
                  <c:v>11.510120801913299</c:v>
                </c:pt>
                <c:pt idx="1">
                  <c:v>11.510120801913299</c:v>
                </c:pt>
                <c:pt idx="2">
                  <c:v>11.510120801913299</c:v>
                </c:pt>
                <c:pt idx="3">
                  <c:v>11.211029187958896</c:v>
                </c:pt>
                <c:pt idx="4">
                  <c:v>10.487957767828986</c:v>
                </c:pt>
                <c:pt idx="5">
                  <c:v>10.589044919799226</c:v>
                </c:pt>
                <c:pt idx="6">
                  <c:v>10.275188499989028</c:v>
                </c:pt>
                <c:pt idx="7">
                  <c:v>9.6680549346126021</c:v>
                </c:pt>
                <c:pt idx="8">
                  <c:v>9.3269977661631263</c:v>
                </c:pt>
                <c:pt idx="9">
                  <c:v>8.9768953724357914</c:v>
                </c:pt>
                <c:pt idx="10">
                  <c:v>8.4238676676974755</c:v>
                </c:pt>
                <c:pt idx="11">
                  <c:v>8.3567472958134221</c:v>
                </c:pt>
                <c:pt idx="12">
                  <c:v>7.9036091133701607</c:v>
                </c:pt>
                <c:pt idx="13">
                  <c:v>7.4337424990909948</c:v>
                </c:pt>
                <c:pt idx="14">
                  <c:v>6.8782629143414757</c:v>
                </c:pt>
                <c:pt idx="15">
                  <c:v>5.9813656633986465</c:v>
                </c:pt>
                <c:pt idx="16">
                  <c:v>4.7714227933001441</c:v>
                </c:pt>
                <c:pt idx="17">
                  <c:v>4.3855696281740029</c:v>
                </c:pt>
                <c:pt idx="18">
                  <c:v>3.5468334626457594</c:v>
                </c:pt>
                <c:pt idx="19">
                  <c:v>2.7015812373490351</c:v>
                </c:pt>
                <c:pt idx="20">
                  <c:v>2.5310495141336729</c:v>
                </c:pt>
                <c:pt idx="21">
                  <c:v>2.0164984688503225</c:v>
                </c:pt>
                <c:pt idx="22">
                  <c:v>1.7553928792208633</c:v>
                </c:pt>
                <c:pt idx="23">
                  <c:v>1.4837992803849822</c:v>
                </c:pt>
                <c:pt idx="24">
                  <c:v>1.4413598379684509</c:v>
                </c:pt>
                <c:pt idx="25">
                  <c:v>1.3115031674900615</c:v>
                </c:pt>
                <c:pt idx="26">
                  <c:v>1.1218848435399411</c:v>
                </c:pt>
                <c:pt idx="27">
                  <c:v>0.96658158456651466</c:v>
                </c:pt>
                <c:pt idx="28">
                  <c:v>0.94089567828026777</c:v>
                </c:pt>
                <c:pt idx="29">
                  <c:v>0.83614551050854746</c:v>
                </c:pt>
                <c:pt idx="30">
                  <c:v>0.76649174841835666</c:v>
                </c:pt>
                <c:pt idx="31">
                  <c:v>0.71425641515219895</c:v>
                </c:pt>
                <c:pt idx="32">
                  <c:v>0.51851846897650689</c:v>
                </c:pt>
                <c:pt idx="33">
                  <c:v>0.40806476218277432</c:v>
                </c:pt>
                <c:pt idx="34">
                  <c:v>0.35540196533477858</c:v>
                </c:pt>
              </c:numCache>
            </c:numRef>
          </c:val>
          <c:smooth val="0"/>
          <c:extLst>
            <c:ext xmlns:c16="http://schemas.microsoft.com/office/drawing/2014/chart" uri="{C3380CC4-5D6E-409C-BE32-E72D297353CC}">
              <c16:uniqueId val="{00000002-2D50-4CB5-9788-7717B09E11D1}"/>
            </c:ext>
          </c:extLst>
        </c:ser>
        <c:dLbls>
          <c:showLegendKey val="0"/>
          <c:showVal val="0"/>
          <c:showCatName val="0"/>
          <c:showSerName val="0"/>
          <c:showPercent val="0"/>
          <c:showBubbleSize val="0"/>
        </c:dLbls>
        <c:marker val="1"/>
        <c:smooth val="0"/>
        <c:axId val="2053203040"/>
        <c:axId val="2053201120"/>
      </c:lineChart>
      <c:catAx>
        <c:axId val="205320304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53201120"/>
        <c:crosses val="autoZero"/>
        <c:auto val="1"/>
        <c:lblAlgn val="ctr"/>
        <c:lblOffset val="100"/>
        <c:noMultiLvlLbl val="0"/>
      </c:catAx>
      <c:valAx>
        <c:axId val="2053201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a:t>t CO2e/t 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0532030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joson</dc:creator>
  <cp:lastModifiedBy>张 璐</cp:lastModifiedBy>
  <cp:revision>3</cp:revision>
  <cp:lastPrinted>2024-11-14T06:22:00Z</cp:lastPrinted>
  <dcterms:created xsi:type="dcterms:W3CDTF">2025-01-16T08:20:00Z</dcterms:created>
  <dcterms:modified xsi:type="dcterms:W3CDTF">2025-01-16T08:23:00Z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CCC08CCCE78E495BBC52ADF72CB762BA_13</vt:lpwstr>
  </property>
</Properties>
</file>